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Ind w:w="-284" w:type="dxa"/>
        <w:tblLook w:val="01E0" w:firstRow="1" w:lastRow="1" w:firstColumn="1" w:lastColumn="1" w:noHBand="0" w:noVBand="0"/>
      </w:tblPr>
      <w:tblGrid>
        <w:gridCol w:w="4820"/>
        <w:gridCol w:w="11340"/>
      </w:tblGrid>
      <w:tr w:rsidR="00E64833" w:rsidRPr="00E64833" w14:paraId="35C1251B" w14:textId="77777777" w:rsidTr="00CC7A6D">
        <w:tc>
          <w:tcPr>
            <w:tcW w:w="4820" w:type="dxa"/>
          </w:tcPr>
          <w:p w14:paraId="7EE080E5" w14:textId="77777777" w:rsidR="00247378" w:rsidRPr="00E64833" w:rsidRDefault="00247378" w:rsidP="00301AB3">
            <w:pPr>
              <w:spacing w:after="0" w:line="240" w:lineRule="auto"/>
              <w:jc w:val="center"/>
              <w:rPr>
                <w:rFonts w:ascii="Times New Roman" w:hAnsi="Times New Roman" w:cs="Times New Roman"/>
                <w:b/>
                <w:bCs/>
                <w:sz w:val="26"/>
                <w:szCs w:val="26"/>
              </w:rPr>
            </w:pPr>
            <w:bookmarkStart w:id="0" w:name="_GoBack"/>
            <w:bookmarkEnd w:id="0"/>
            <w:r w:rsidRPr="00E64833">
              <w:rPr>
                <w:rFonts w:ascii="Times New Roman" w:hAnsi="Times New Roman" w:cs="Times New Roman"/>
                <w:b/>
                <w:bCs/>
                <w:sz w:val="26"/>
                <w:szCs w:val="26"/>
              </w:rPr>
              <w:t>UỶ BAN NHÂN DÂN</w:t>
            </w:r>
          </w:p>
          <w:p w14:paraId="41D6C147" w14:textId="1B549E13" w:rsidR="007018B2" w:rsidRPr="00E64833" w:rsidRDefault="007018B2" w:rsidP="00301AB3">
            <w:pPr>
              <w:spacing w:after="0" w:line="240" w:lineRule="auto"/>
              <w:jc w:val="center"/>
              <w:rPr>
                <w:rFonts w:ascii="Times New Roman" w:hAnsi="Times New Roman" w:cs="Times New Roman"/>
                <w:b/>
                <w:bCs/>
                <w:sz w:val="26"/>
                <w:szCs w:val="26"/>
              </w:rPr>
            </w:pPr>
            <w:r w:rsidRPr="00E64833">
              <w:rPr>
                <w:rFonts w:ascii="Times New Roman" w:hAnsi="Times New Roman" w:cs="Times New Roman"/>
                <w:b/>
                <w:bCs/>
                <w:sz w:val="26"/>
                <w:szCs w:val="26"/>
              </w:rPr>
              <w:t>THÀNH PHỐ HÀ NỘI</w:t>
            </w:r>
          </w:p>
          <w:p w14:paraId="2D4A5F88" w14:textId="77777777" w:rsidR="007018B2" w:rsidRPr="00E64833" w:rsidRDefault="007018B2" w:rsidP="00301AB3">
            <w:pPr>
              <w:spacing w:after="0" w:line="240" w:lineRule="auto"/>
              <w:jc w:val="center"/>
              <w:rPr>
                <w:rFonts w:ascii="Times New Roman" w:hAnsi="Times New Roman" w:cs="Times New Roman"/>
                <w:bCs/>
                <w:sz w:val="28"/>
                <w:szCs w:val="28"/>
              </w:rPr>
            </w:pPr>
            <w:r w:rsidRPr="00E64833">
              <w:rPr>
                <w:rFonts w:ascii="Times New Roman" w:hAnsi="Times New Roman" w:cs="Times New Roman"/>
                <w:bCs/>
                <w:sz w:val="28"/>
                <w:szCs w:val="28"/>
              </w:rPr>
              <w:t>–––––––</w:t>
            </w:r>
          </w:p>
          <w:tbl>
            <w:tblPr>
              <w:tblStyle w:val="TableGrid"/>
              <w:tblpPr w:leftFromText="180" w:rightFromText="180" w:vertAnchor="text" w:horzAnchor="margin" w:tblpY="160"/>
              <w:tblW w:w="0" w:type="auto"/>
              <w:tblLook w:val="04A0" w:firstRow="1" w:lastRow="0" w:firstColumn="1" w:lastColumn="0" w:noHBand="0" w:noVBand="1"/>
            </w:tblPr>
            <w:tblGrid>
              <w:gridCol w:w="1555"/>
            </w:tblGrid>
            <w:tr w:rsidR="00E64833" w:rsidRPr="00E64833" w14:paraId="72461FE4" w14:textId="77777777" w:rsidTr="00CC7A6D">
              <w:tc>
                <w:tcPr>
                  <w:tcW w:w="1555" w:type="dxa"/>
                </w:tcPr>
                <w:p w14:paraId="307421EC" w14:textId="77777777" w:rsidR="00CC7A6D" w:rsidRPr="00E64833" w:rsidRDefault="00CC7A6D" w:rsidP="00301AB3">
                  <w:pPr>
                    <w:rPr>
                      <w:rFonts w:ascii="Times New Roman" w:hAnsi="Times New Roman" w:cs="Times New Roman"/>
                      <w:b/>
                      <w:sz w:val="28"/>
                      <w:szCs w:val="28"/>
                    </w:rPr>
                  </w:pPr>
                  <w:r w:rsidRPr="00E64833">
                    <w:rPr>
                      <w:rFonts w:ascii="Times New Roman" w:hAnsi="Times New Roman" w:cs="Times New Roman"/>
                      <w:b/>
                      <w:sz w:val="28"/>
                      <w:szCs w:val="28"/>
                    </w:rPr>
                    <w:t>DỰ THẢO</w:t>
                  </w:r>
                </w:p>
              </w:tc>
            </w:tr>
          </w:tbl>
          <w:p w14:paraId="193FB8C7" w14:textId="1642A10C" w:rsidR="007018B2" w:rsidRPr="00E64833" w:rsidRDefault="007018B2" w:rsidP="00301AB3">
            <w:pPr>
              <w:spacing w:after="0" w:line="240" w:lineRule="auto"/>
              <w:jc w:val="center"/>
              <w:rPr>
                <w:rFonts w:ascii="Times New Roman" w:hAnsi="Times New Roman" w:cs="Times New Roman"/>
                <w:sz w:val="28"/>
                <w:szCs w:val="28"/>
              </w:rPr>
            </w:pPr>
          </w:p>
        </w:tc>
        <w:tc>
          <w:tcPr>
            <w:tcW w:w="11340" w:type="dxa"/>
          </w:tcPr>
          <w:p w14:paraId="3CA07200" w14:textId="77777777" w:rsidR="007018B2" w:rsidRPr="00E64833" w:rsidRDefault="007018B2" w:rsidP="00301AB3">
            <w:pPr>
              <w:spacing w:after="0" w:line="240" w:lineRule="auto"/>
              <w:jc w:val="center"/>
              <w:rPr>
                <w:rFonts w:ascii="Times New Roman" w:hAnsi="Times New Roman" w:cs="Times New Roman"/>
                <w:b/>
                <w:sz w:val="26"/>
                <w:szCs w:val="26"/>
              </w:rPr>
            </w:pPr>
            <w:r w:rsidRPr="00E64833">
              <w:rPr>
                <w:rFonts w:ascii="Times New Roman" w:hAnsi="Times New Roman" w:cs="Times New Roman"/>
                <w:b/>
                <w:sz w:val="26"/>
                <w:szCs w:val="26"/>
              </w:rPr>
              <w:t>CỘNG HOÀ XÃ HỘI CHỦ NGHĨA VIỆT NAM</w:t>
            </w:r>
          </w:p>
          <w:p w14:paraId="72423D51" w14:textId="77777777" w:rsidR="007018B2" w:rsidRPr="00E64833" w:rsidRDefault="007018B2" w:rsidP="00301AB3">
            <w:pPr>
              <w:spacing w:after="0" w:line="240" w:lineRule="auto"/>
              <w:jc w:val="center"/>
              <w:rPr>
                <w:rFonts w:ascii="Times New Roman" w:hAnsi="Times New Roman" w:cs="Times New Roman"/>
                <w:b/>
                <w:sz w:val="28"/>
                <w:szCs w:val="28"/>
              </w:rPr>
            </w:pPr>
            <w:r w:rsidRPr="00E64833">
              <w:rPr>
                <w:rFonts w:ascii="Times New Roman" w:hAnsi="Times New Roman" w:cs="Times New Roman"/>
                <w:b/>
                <w:sz w:val="26"/>
                <w:szCs w:val="26"/>
              </w:rPr>
              <w:t>Độc lập - Tự do - Hạnh phúc</w:t>
            </w:r>
          </w:p>
          <w:p w14:paraId="72374C07" w14:textId="16C0B34E" w:rsidR="007018B2" w:rsidRPr="00E64833" w:rsidRDefault="007018B2" w:rsidP="00301AB3">
            <w:pPr>
              <w:spacing w:after="0" w:line="240" w:lineRule="auto"/>
              <w:jc w:val="center"/>
              <w:rPr>
                <w:rFonts w:ascii="Times New Roman" w:hAnsi="Times New Roman" w:cs="Times New Roman"/>
                <w:bCs/>
                <w:sz w:val="28"/>
                <w:szCs w:val="28"/>
              </w:rPr>
            </w:pPr>
            <w:r w:rsidRPr="00E64833">
              <w:rPr>
                <w:rFonts w:ascii="Times New Roman" w:hAnsi="Times New Roman" w:cs="Times New Roman"/>
                <w:bCs/>
                <w:sz w:val="28"/>
                <w:szCs w:val="28"/>
              </w:rPr>
              <w:t>–––––––––––––––––––––––</w:t>
            </w:r>
          </w:p>
          <w:p w14:paraId="4E6C8F45" w14:textId="610AAF82" w:rsidR="007018B2" w:rsidRPr="00E64833" w:rsidRDefault="007018B2" w:rsidP="00301AB3">
            <w:pPr>
              <w:spacing w:after="0" w:line="240" w:lineRule="auto"/>
              <w:jc w:val="center"/>
              <w:rPr>
                <w:rFonts w:ascii="Times New Roman" w:hAnsi="Times New Roman" w:cs="Times New Roman"/>
                <w:i/>
                <w:sz w:val="28"/>
                <w:szCs w:val="28"/>
              </w:rPr>
            </w:pPr>
            <w:r w:rsidRPr="00E64833">
              <w:rPr>
                <w:rFonts w:ascii="Times New Roman" w:hAnsi="Times New Roman" w:cs="Times New Roman"/>
                <w:i/>
                <w:sz w:val="28"/>
                <w:szCs w:val="28"/>
              </w:rPr>
              <w:t>Hà</w:t>
            </w:r>
            <w:r w:rsidRPr="00E64833">
              <w:rPr>
                <w:rFonts w:ascii="Times New Roman" w:hAnsi="Times New Roman" w:cs="Times New Roman"/>
                <w:i/>
                <w:sz w:val="28"/>
                <w:szCs w:val="28"/>
                <w:lang w:val="vi-VN"/>
              </w:rPr>
              <w:t xml:space="preserve"> Nội</w:t>
            </w:r>
            <w:r w:rsidRPr="00E64833">
              <w:rPr>
                <w:rFonts w:ascii="Times New Roman" w:hAnsi="Times New Roman" w:cs="Times New Roman"/>
                <w:i/>
                <w:sz w:val="28"/>
                <w:szCs w:val="28"/>
              </w:rPr>
              <w:t xml:space="preserve">, ngày       tháng </w:t>
            </w:r>
            <w:r w:rsidR="00247378" w:rsidRPr="00E64833">
              <w:rPr>
                <w:rFonts w:ascii="Times New Roman" w:hAnsi="Times New Roman" w:cs="Times New Roman"/>
                <w:i/>
                <w:sz w:val="28"/>
                <w:szCs w:val="28"/>
              </w:rPr>
              <w:t xml:space="preserve">   </w:t>
            </w:r>
            <w:r w:rsidRPr="00E64833">
              <w:rPr>
                <w:rFonts w:ascii="Times New Roman" w:hAnsi="Times New Roman" w:cs="Times New Roman"/>
                <w:i/>
                <w:sz w:val="28"/>
                <w:szCs w:val="28"/>
              </w:rPr>
              <w:t xml:space="preserve"> năm </w:t>
            </w:r>
            <w:r w:rsidRPr="00E64833">
              <w:rPr>
                <w:rFonts w:ascii="Times New Roman" w:hAnsi="Times New Roman" w:cs="Times New Roman"/>
                <w:i/>
                <w:sz w:val="28"/>
                <w:szCs w:val="28"/>
                <w:lang w:val="vi-VN"/>
              </w:rPr>
              <w:t>202</w:t>
            </w:r>
            <w:r w:rsidR="00247378" w:rsidRPr="00E64833">
              <w:rPr>
                <w:rFonts w:ascii="Times New Roman" w:hAnsi="Times New Roman" w:cs="Times New Roman"/>
                <w:i/>
                <w:sz w:val="28"/>
                <w:szCs w:val="28"/>
              </w:rPr>
              <w:t>6</w:t>
            </w:r>
          </w:p>
        </w:tc>
      </w:tr>
    </w:tbl>
    <w:p w14:paraId="4DB94AE2" w14:textId="77777777" w:rsidR="007018B2" w:rsidRPr="00E64833" w:rsidRDefault="007018B2" w:rsidP="007018B2">
      <w:pPr>
        <w:tabs>
          <w:tab w:val="left" w:pos="1220"/>
        </w:tabs>
        <w:spacing w:after="0" w:line="240" w:lineRule="auto"/>
        <w:rPr>
          <w:rFonts w:ascii="Times New Roman" w:hAnsi="Times New Roman" w:cs="Times New Roman"/>
          <w:b/>
          <w:sz w:val="28"/>
          <w:szCs w:val="28"/>
        </w:rPr>
      </w:pPr>
      <w:r w:rsidRPr="00E64833">
        <w:rPr>
          <w:rFonts w:ascii="Times New Roman" w:hAnsi="Times New Roman" w:cs="Times New Roman"/>
          <w:b/>
          <w:sz w:val="28"/>
          <w:szCs w:val="28"/>
        </w:rPr>
        <w:tab/>
      </w:r>
    </w:p>
    <w:p w14:paraId="47B2DF1F" w14:textId="209E5E24" w:rsidR="00BA476C" w:rsidRPr="003D20E5" w:rsidRDefault="002579CB" w:rsidP="003D20E5">
      <w:pPr>
        <w:pStyle w:val="NoSpacing"/>
        <w:jc w:val="center"/>
        <w:rPr>
          <w:rStyle w:val="Strong"/>
          <w:b w:val="0"/>
          <w:bCs w:val="0"/>
          <w:color w:val="auto"/>
          <w:spacing w:val="-2"/>
          <w:sz w:val="28"/>
          <w:szCs w:val="28"/>
          <w:lang w:val="en-US"/>
        </w:rPr>
      </w:pPr>
      <w:r w:rsidRPr="003D20E5">
        <w:rPr>
          <w:rStyle w:val="Strong"/>
          <w:color w:val="auto"/>
          <w:sz w:val="28"/>
          <w:szCs w:val="28"/>
          <w:lang w:val="en-US"/>
        </w:rPr>
        <w:t xml:space="preserve">BẢN SO SÁNH, THUYẾT MINH DỰ THẢO NGHỊ QUYẾT </w:t>
      </w:r>
      <w:r w:rsidR="003F6930" w:rsidRPr="003D20E5">
        <w:rPr>
          <w:rStyle w:val="Strong"/>
          <w:color w:val="auto"/>
          <w:sz w:val="28"/>
          <w:szCs w:val="28"/>
          <w:lang w:val="en-US"/>
        </w:rPr>
        <w:t>CỦA</w:t>
      </w:r>
      <w:r w:rsidR="007018B2" w:rsidRPr="003D20E5">
        <w:rPr>
          <w:rStyle w:val="Strong"/>
          <w:color w:val="auto"/>
          <w:sz w:val="28"/>
          <w:szCs w:val="28"/>
          <w:lang w:val="en-US"/>
        </w:rPr>
        <w:t xml:space="preserve"> HĐND </w:t>
      </w:r>
      <w:r w:rsidR="003F6930" w:rsidRPr="003D20E5">
        <w:rPr>
          <w:rStyle w:val="Strong"/>
          <w:color w:val="auto"/>
          <w:sz w:val="28"/>
          <w:szCs w:val="28"/>
          <w:lang w:val="en-US"/>
        </w:rPr>
        <w:t>THÀNH PHỐ QUYẾT ĐỊNH DANH MỤC DOANH NGHIỆP DO NHÀ NƯỚC NẮM GIỮ CỔ PHẦN, VỐN GÓP VÀ THỰC HIỆN ĐẦU TƯ VỐN NHÀ NƯỚC VÀO DOANH NGHIỆP</w:t>
      </w:r>
      <w:r w:rsidR="00E64833" w:rsidRPr="003D20E5">
        <w:rPr>
          <w:rStyle w:val="Strong"/>
          <w:color w:val="auto"/>
          <w:sz w:val="28"/>
          <w:szCs w:val="28"/>
          <w:lang w:val="en-US"/>
        </w:rPr>
        <w:t xml:space="preserve">; </w:t>
      </w:r>
      <w:r w:rsidR="00E64833" w:rsidRPr="003D20E5">
        <w:rPr>
          <w:b/>
          <w:bCs/>
          <w:spacing w:val="3"/>
          <w:sz w:val="28"/>
          <w:szCs w:val="28"/>
        </w:rPr>
        <w:t>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r w:rsidR="00E64833" w:rsidRPr="003D20E5">
        <w:rPr>
          <w:rStyle w:val="Strong"/>
          <w:color w:val="auto"/>
          <w:sz w:val="28"/>
          <w:szCs w:val="28"/>
          <w:lang w:val="en-US"/>
        </w:rPr>
        <w:t xml:space="preserve"> </w:t>
      </w:r>
      <w:r w:rsidR="00CC7A6D" w:rsidRPr="003D20E5">
        <w:rPr>
          <w:rStyle w:val="Strong"/>
          <w:color w:val="auto"/>
          <w:sz w:val="28"/>
          <w:szCs w:val="28"/>
          <w:lang w:val="en-US"/>
        </w:rPr>
        <w:t xml:space="preserve">VỚI </w:t>
      </w:r>
      <w:r w:rsidR="00691DD3" w:rsidRPr="003D20E5">
        <w:rPr>
          <w:b/>
          <w:bCs/>
          <w:color w:val="auto"/>
          <w:sz w:val="28"/>
          <w:szCs w:val="28"/>
        </w:rPr>
        <w:t>LUẬT THỦ ĐÔ SỐ 02/2026/QH16</w:t>
      </w:r>
      <w:r w:rsidR="00691DD3" w:rsidRPr="003D20E5">
        <w:rPr>
          <w:b/>
          <w:bCs/>
          <w:color w:val="auto"/>
          <w:sz w:val="28"/>
          <w:szCs w:val="28"/>
          <w:lang w:val="en-US"/>
        </w:rPr>
        <w:t>,</w:t>
      </w:r>
      <w:r w:rsidR="00691DD3" w:rsidRPr="003D20E5">
        <w:rPr>
          <w:b/>
          <w:bCs/>
          <w:color w:val="auto"/>
          <w:sz w:val="28"/>
          <w:szCs w:val="28"/>
        </w:rPr>
        <w:t xml:space="preserve"> </w:t>
      </w:r>
      <w:r w:rsidR="00DF3BAF" w:rsidRPr="003D20E5">
        <w:rPr>
          <w:b/>
          <w:bCs/>
          <w:color w:val="auto"/>
          <w:sz w:val="28"/>
          <w:szCs w:val="28"/>
        </w:rPr>
        <w:t>LUẬT SỐ 68/2025/QH15</w:t>
      </w:r>
      <w:r w:rsidR="00691DD3" w:rsidRPr="003D20E5">
        <w:rPr>
          <w:b/>
          <w:bCs/>
          <w:color w:val="auto"/>
          <w:sz w:val="28"/>
          <w:szCs w:val="28"/>
        </w:rPr>
        <w:t xml:space="preserve"> SỐ 68/2025/QH15</w:t>
      </w:r>
      <w:r w:rsidR="00691DD3" w:rsidRPr="003D20E5">
        <w:rPr>
          <w:b/>
          <w:bCs/>
          <w:color w:val="auto"/>
          <w:sz w:val="28"/>
          <w:szCs w:val="28"/>
          <w:lang w:val="en-US"/>
        </w:rPr>
        <w:t>,</w:t>
      </w:r>
      <w:r w:rsidR="00691DD3" w:rsidRPr="003D20E5">
        <w:rPr>
          <w:rStyle w:val="Strong"/>
          <w:b w:val="0"/>
          <w:bCs w:val="0"/>
          <w:color w:val="auto"/>
          <w:sz w:val="28"/>
          <w:szCs w:val="28"/>
        </w:rPr>
        <w:t xml:space="preserve"> </w:t>
      </w:r>
      <w:r w:rsidR="00691DD3" w:rsidRPr="003D20E5">
        <w:rPr>
          <w:b/>
          <w:bCs/>
          <w:color w:val="auto"/>
          <w:sz w:val="28"/>
          <w:szCs w:val="28"/>
          <w:lang w:val="en-US"/>
        </w:rPr>
        <w:t>NGHỊ ĐỊNH SỐ</w:t>
      </w:r>
      <w:r w:rsidR="00691DD3" w:rsidRPr="003D20E5">
        <w:rPr>
          <w:b/>
          <w:bCs/>
          <w:color w:val="auto"/>
          <w:sz w:val="28"/>
          <w:szCs w:val="28"/>
        </w:rPr>
        <w:t xml:space="preserve"> 366/2025/NĐ-CP </w:t>
      </w:r>
      <w:r w:rsidR="00691DD3" w:rsidRPr="003D20E5">
        <w:rPr>
          <w:b/>
          <w:bCs/>
          <w:color w:val="auto"/>
          <w:sz w:val="28"/>
          <w:szCs w:val="28"/>
          <w:lang w:val="en-US"/>
        </w:rPr>
        <w:t xml:space="preserve">NGÀY 31/12/2025 </w:t>
      </w:r>
      <w:r w:rsidR="00691DD3" w:rsidRPr="003D20E5">
        <w:rPr>
          <w:b/>
          <w:bCs/>
          <w:color w:val="auto"/>
          <w:sz w:val="28"/>
          <w:szCs w:val="28"/>
        </w:rPr>
        <w:t>CỦA CHÍNH PHỦ</w:t>
      </w:r>
      <w:r w:rsidR="003D20E5" w:rsidRPr="003D20E5">
        <w:rPr>
          <w:b/>
          <w:bCs/>
          <w:color w:val="auto"/>
          <w:sz w:val="28"/>
          <w:szCs w:val="28"/>
          <w:lang w:val="en-US"/>
        </w:rPr>
        <w:t xml:space="preserve">, </w:t>
      </w:r>
      <w:r w:rsidR="003D20E5" w:rsidRPr="003D20E5">
        <w:rPr>
          <w:b/>
          <w:bCs/>
          <w:sz w:val="28"/>
          <w:szCs w:val="28"/>
        </w:rPr>
        <w:t xml:space="preserve">NGHỊ ĐỊNH </w:t>
      </w:r>
      <w:r w:rsidR="003D20E5" w:rsidRPr="003D20E5">
        <w:rPr>
          <w:b/>
          <w:bCs/>
          <w:sz w:val="28"/>
          <w:szCs w:val="28"/>
          <w:lang w:val="vi-VN"/>
        </w:rPr>
        <w:t xml:space="preserve">SỐ </w:t>
      </w:r>
      <w:r w:rsidR="003D20E5" w:rsidRPr="003D20E5">
        <w:rPr>
          <w:b/>
          <w:bCs/>
          <w:sz w:val="28"/>
          <w:szCs w:val="28"/>
        </w:rPr>
        <w:t xml:space="preserve">248/2025/NĐ-CP </w:t>
      </w:r>
      <w:r w:rsidR="003D20E5" w:rsidRPr="003D20E5">
        <w:rPr>
          <w:b/>
          <w:bCs/>
          <w:sz w:val="28"/>
          <w:szCs w:val="28"/>
          <w:lang w:val="vi-VN"/>
        </w:rPr>
        <w:t>CỦA CHÍNH PHỦ</w:t>
      </w:r>
      <w:r w:rsidR="003D20E5" w:rsidRPr="003D20E5">
        <w:rPr>
          <w:b/>
          <w:bCs/>
          <w:sz w:val="28"/>
          <w:szCs w:val="28"/>
          <w:lang w:val="en-US"/>
        </w:rPr>
        <w:t>,</w:t>
      </w:r>
      <w:r w:rsidR="00691DD3" w:rsidRPr="003D20E5">
        <w:rPr>
          <w:b/>
          <w:bCs/>
          <w:color w:val="auto"/>
          <w:sz w:val="28"/>
          <w:szCs w:val="28"/>
        </w:rPr>
        <w:t xml:space="preserve"> DỰ THẢO QĐ CỦA THỦ TƯỚNG CHÍNH PHỦ VỀ TIÊU CHÍ PHÂN LOẠI DNNN, DN CÓ VỐN </w:t>
      </w:r>
      <w:r w:rsidR="003D20E5" w:rsidRPr="003D20E5">
        <w:rPr>
          <w:b/>
          <w:bCs/>
          <w:color w:val="auto"/>
          <w:sz w:val="28"/>
          <w:szCs w:val="28"/>
          <w:lang w:val="en-US"/>
        </w:rPr>
        <w:t>NHÀ NƯỚC</w:t>
      </w:r>
    </w:p>
    <w:p w14:paraId="68F9DAB9" w14:textId="1D6BE4D9" w:rsidR="00247378" w:rsidRPr="00E64833" w:rsidRDefault="00247378" w:rsidP="00BA476C">
      <w:pPr>
        <w:pStyle w:val="NoSpacing"/>
        <w:jc w:val="center"/>
        <w:rPr>
          <w:b/>
          <w:bCs/>
          <w:color w:val="auto"/>
          <w:spacing w:val="-2"/>
          <w:sz w:val="28"/>
          <w:szCs w:val="28"/>
          <w:lang w:val="en-US"/>
        </w:rPr>
      </w:pPr>
      <w:r w:rsidRPr="00E64833">
        <w:rPr>
          <w:b/>
          <w:bCs/>
          <w:color w:val="auto"/>
          <w:spacing w:val="-2"/>
          <w:sz w:val="28"/>
          <w:szCs w:val="28"/>
          <w:lang w:val="en-US"/>
        </w:rPr>
        <w:t xml:space="preserve">(thực hiện </w:t>
      </w:r>
      <w:r w:rsidR="005B22F7" w:rsidRPr="00E64833">
        <w:rPr>
          <w:b/>
          <w:bCs/>
          <w:color w:val="auto"/>
          <w:spacing w:val="-2"/>
          <w:sz w:val="28"/>
          <w:szCs w:val="28"/>
          <w:lang w:val="en-US"/>
        </w:rPr>
        <w:t xml:space="preserve">điểm a </w:t>
      </w:r>
      <w:r w:rsidRPr="00E64833">
        <w:rPr>
          <w:b/>
          <w:bCs/>
          <w:color w:val="auto"/>
          <w:spacing w:val="-2"/>
          <w:sz w:val="28"/>
          <w:szCs w:val="28"/>
          <w:lang w:val="en-US"/>
        </w:rPr>
        <w:t xml:space="preserve">khoản </w:t>
      </w:r>
      <w:r w:rsidR="005B22F7" w:rsidRPr="00E64833">
        <w:rPr>
          <w:b/>
          <w:bCs/>
          <w:color w:val="auto"/>
          <w:spacing w:val="-2"/>
          <w:sz w:val="28"/>
          <w:szCs w:val="28"/>
          <w:lang w:val="en-US"/>
        </w:rPr>
        <w:t>9</w:t>
      </w:r>
      <w:r w:rsidRPr="00E64833">
        <w:rPr>
          <w:b/>
          <w:bCs/>
          <w:color w:val="auto"/>
          <w:spacing w:val="-2"/>
          <w:sz w:val="28"/>
          <w:szCs w:val="28"/>
          <w:lang w:val="en-US"/>
        </w:rPr>
        <w:t xml:space="preserve"> Điều </w:t>
      </w:r>
      <w:r w:rsidR="005B22F7" w:rsidRPr="00E64833">
        <w:rPr>
          <w:b/>
          <w:bCs/>
          <w:color w:val="auto"/>
          <w:spacing w:val="-2"/>
          <w:sz w:val="28"/>
          <w:szCs w:val="28"/>
          <w:lang w:val="en-US"/>
        </w:rPr>
        <w:t>26</w:t>
      </w:r>
      <w:r w:rsidRPr="00E64833">
        <w:rPr>
          <w:b/>
          <w:bCs/>
          <w:color w:val="auto"/>
          <w:spacing w:val="-2"/>
          <w:sz w:val="28"/>
          <w:szCs w:val="28"/>
          <w:lang w:val="en-US"/>
        </w:rPr>
        <w:t xml:space="preserve"> Luật Thủ đô)</w:t>
      </w:r>
    </w:p>
    <w:p w14:paraId="4D9CC15D" w14:textId="77777777" w:rsidR="007018B2" w:rsidRPr="00E64833" w:rsidRDefault="007018B2" w:rsidP="00247378">
      <w:pPr>
        <w:pStyle w:val="NoSpacing"/>
        <w:jc w:val="center"/>
        <w:rPr>
          <w:color w:val="auto"/>
          <w:sz w:val="28"/>
          <w:szCs w:val="28"/>
        </w:rPr>
      </w:pPr>
      <w:r w:rsidRPr="00E64833">
        <w:rPr>
          <w:color w:val="auto"/>
          <w:sz w:val="28"/>
          <w:szCs w:val="28"/>
        </w:rPr>
        <w:t>–––––––––––––––</w:t>
      </w:r>
    </w:p>
    <w:p w14:paraId="7DD21212" w14:textId="77777777" w:rsidR="003F6930" w:rsidRPr="00E64833" w:rsidRDefault="003F6930" w:rsidP="002B1FEC">
      <w:pPr>
        <w:spacing w:before="40" w:after="40" w:line="240" w:lineRule="auto"/>
        <w:ind w:firstLine="720"/>
        <w:jc w:val="both"/>
        <w:rPr>
          <w:rFonts w:ascii="Times New Roman" w:hAnsi="Times New Roman" w:cs="Times New Roman"/>
          <w:sz w:val="28"/>
          <w:szCs w:val="28"/>
          <w:lang w:val="vi-VN"/>
        </w:rPr>
      </w:pPr>
    </w:p>
    <w:tbl>
      <w:tblPr>
        <w:tblStyle w:val="TableGrid"/>
        <w:tblW w:w="14879" w:type="dxa"/>
        <w:tblLook w:val="04A0" w:firstRow="1" w:lastRow="0" w:firstColumn="1" w:lastColumn="0" w:noHBand="0" w:noVBand="1"/>
      </w:tblPr>
      <w:tblGrid>
        <w:gridCol w:w="746"/>
        <w:gridCol w:w="3082"/>
        <w:gridCol w:w="4678"/>
        <w:gridCol w:w="6373"/>
      </w:tblGrid>
      <w:tr w:rsidR="00E64833" w:rsidRPr="000C72D2" w14:paraId="783D8831" w14:textId="77777777" w:rsidTr="000C72D2">
        <w:trPr>
          <w:tblHeader/>
        </w:trPr>
        <w:tc>
          <w:tcPr>
            <w:tcW w:w="746" w:type="dxa"/>
            <w:vAlign w:val="center"/>
          </w:tcPr>
          <w:p w14:paraId="5774C4B6" w14:textId="33F16621" w:rsidR="00CC7A6D" w:rsidRPr="000C72D2" w:rsidRDefault="00CC7A6D" w:rsidP="00E64833">
            <w:pPr>
              <w:jc w:val="center"/>
              <w:rPr>
                <w:rFonts w:ascii="Times New Roman" w:hAnsi="Times New Roman" w:cs="Times New Roman"/>
                <w:b/>
                <w:bCs/>
                <w:sz w:val="25"/>
                <w:szCs w:val="25"/>
              </w:rPr>
            </w:pPr>
            <w:r w:rsidRPr="000C72D2">
              <w:rPr>
                <w:rFonts w:ascii="Times New Roman" w:hAnsi="Times New Roman" w:cs="Times New Roman"/>
                <w:b/>
                <w:bCs/>
                <w:sz w:val="25"/>
                <w:szCs w:val="25"/>
              </w:rPr>
              <w:t>STT</w:t>
            </w:r>
          </w:p>
        </w:tc>
        <w:tc>
          <w:tcPr>
            <w:tcW w:w="3082" w:type="dxa"/>
            <w:vAlign w:val="center"/>
          </w:tcPr>
          <w:p w14:paraId="35AB5442" w14:textId="695AD2C7" w:rsidR="00CC7A6D" w:rsidRPr="000C72D2" w:rsidRDefault="00E64833" w:rsidP="00E64833">
            <w:pPr>
              <w:jc w:val="center"/>
              <w:rPr>
                <w:rFonts w:ascii="Times New Roman" w:hAnsi="Times New Roman" w:cs="Times New Roman"/>
                <w:b/>
                <w:bCs/>
                <w:sz w:val="25"/>
                <w:szCs w:val="25"/>
              </w:rPr>
            </w:pPr>
            <w:r w:rsidRPr="000C72D2">
              <w:rPr>
                <w:rFonts w:ascii="Times New Roman" w:hAnsi="Times New Roman" w:cs="Times New Roman"/>
                <w:b/>
                <w:bCs/>
                <w:sz w:val="25"/>
                <w:szCs w:val="25"/>
              </w:rPr>
              <w:t>PHÁP LUẬT HIỆN HÀNH</w:t>
            </w:r>
          </w:p>
        </w:tc>
        <w:tc>
          <w:tcPr>
            <w:tcW w:w="4678" w:type="dxa"/>
            <w:vAlign w:val="center"/>
          </w:tcPr>
          <w:p w14:paraId="08CC2F2A" w14:textId="16E7EC34" w:rsidR="00CC7A6D" w:rsidRPr="000C72D2" w:rsidRDefault="00CC7A6D" w:rsidP="00E64833">
            <w:pPr>
              <w:jc w:val="center"/>
              <w:rPr>
                <w:rFonts w:ascii="Times New Roman" w:hAnsi="Times New Roman" w:cs="Times New Roman"/>
                <w:b/>
                <w:bCs/>
                <w:sz w:val="25"/>
                <w:szCs w:val="25"/>
              </w:rPr>
            </w:pPr>
            <w:r w:rsidRPr="000C72D2">
              <w:rPr>
                <w:rFonts w:ascii="Times New Roman" w:hAnsi="Times New Roman" w:cs="Times New Roman"/>
                <w:b/>
                <w:bCs/>
                <w:sz w:val="25"/>
                <w:szCs w:val="25"/>
              </w:rPr>
              <w:t>DỰ THẢO NGHỊ QUYẾT</w:t>
            </w:r>
          </w:p>
        </w:tc>
        <w:tc>
          <w:tcPr>
            <w:tcW w:w="6373" w:type="dxa"/>
            <w:vAlign w:val="center"/>
          </w:tcPr>
          <w:p w14:paraId="1C3A00CD" w14:textId="66AA4DC8" w:rsidR="00CC7A6D" w:rsidRPr="000C72D2" w:rsidRDefault="00CC7A6D" w:rsidP="00E64833">
            <w:pPr>
              <w:jc w:val="center"/>
              <w:rPr>
                <w:rFonts w:ascii="Times New Roman" w:hAnsi="Times New Roman" w:cs="Times New Roman"/>
                <w:b/>
                <w:bCs/>
                <w:sz w:val="25"/>
                <w:szCs w:val="25"/>
              </w:rPr>
            </w:pPr>
            <w:r w:rsidRPr="000C72D2">
              <w:rPr>
                <w:rFonts w:ascii="Times New Roman" w:hAnsi="Times New Roman" w:cs="Times New Roman"/>
                <w:b/>
                <w:bCs/>
                <w:sz w:val="25"/>
                <w:szCs w:val="25"/>
              </w:rPr>
              <w:t>THUYẾT MINH</w:t>
            </w:r>
          </w:p>
        </w:tc>
      </w:tr>
      <w:tr w:rsidR="00E64833" w:rsidRPr="000C72D2" w14:paraId="6BD49ACA" w14:textId="77777777" w:rsidTr="000C72D2">
        <w:tc>
          <w:tcPr>
            <w:tcW w:w="746" w:type="dxa"/>
            <w:vAlign w:val="center"/>
          </w:tcPr>
          <w:p w14:paraId="6B9ECA31" w14:textId="2AA9E691" w:rsidR="00F910DA" w:rsidRPr="000C72D2" w:rsidRDefault="00F910DA"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3B687D32" w14:textId="51C76426" w:rsidR="00301AB3" w:rsidRPr="000C72D2" w:rsidRDefault="00301AB3" w:rsidP="00E64833">
            <w:pPr>
              <w:jc w:val="both"/>
              <w:rPr>
                <w:rFonts w:ascii="Times New Roman" w:hAnsi="Times New Roman" w:cs="Times New Roman"/>
                <w:sz w:val="25"/>
                <w:szCs w:val="25"/>
              </w:rPr>
            </w:pPr>
            <w:r w:rsidRPr="000C72D2">
              <w:rPr>
                <w:rFonts w:ascii="Times New Roman" w:hAnsi="Times New Roman" w:cs="Times New Roman"/>
                <w:sz w:val="25"/>
                <w:szCs w:val="25"/>
              </w:rPr>
              <w:t xml:space="preserve">- </w:t>
            </w:r>
            <w:r w:rsidR="00F910DA" w:rsidRPr="000C72D2">
              <w:rPr>
                <w:rFonts w:ascii="Times New Roman" w:hAnsi="Times New Roman" w:cs="Times New Roman"/>
                <w:sz w:val="25"/>
                <w:szCs w:val="25"/>
              </w:rPr>
              <w:t>Điểm a khoản 9 Điều 26 Luật Thủ đô</w:t>
            </w:r>
            <w:r w:rsidR="00691DD3" w:rsidRPr="000C72D2">
              <w:rPr>
                <w:rFonts w:ascii="Times New Roman" w:hAnsi="Times New Roman" w:cs="Times New Roman"/>
                <w:sz w:val="25"/>
                <w:szCs w:val="25"/>
              </w:rPr>
              <w:t xml:space="preserve">: </w:t>
            </w:r>
            <w:r w:rsidR="00F910DA" w:rsidRPr="000C72D2">
              <w:rPr>
                <w:rFonts w:ascii="Times New Roman" w:hAnsi="Times New Roman" w:cs="Times New Roman"/>
                <w:sz w:val="25"/>
                <w:szCs w:val="25"/>
              </w:rPr>
              <w:t>HĐND Thành phố quyết định danh mục doanh nghiệp do Nhà nước nắm giữ cổ phần, vốn góp và</w:t>
            </w:r>
            <w:r w:rsidR="00691DD3" w:rsidRPr="000C72D2">
              <w:rPr>
                <w:rFonts w:ascii="Times New Roman" w:hAnsi="Times New Roman" w:cs="Times New Roman"/>
                <w:sz w:val="25"/>
                <w:szCs w:val="25"/>
              </w:rPr>
              <w:t xml:space="preserve"> thực hiện</w:t>
            </w:r>
            <w:r w:rsidR="00F910DA" w:rsidRPr="000C72D2">
              <w:rPr>
                <w:rFonts w:ascii="Times New Roman" w:hAnsi="Times New Roman" w:cs="Times New Roman"/>
                <w:sz w:val="25"/>
                <w:szCs w:val="25"/>
              </w:rPr>
              <w:t xml:space="preserve"> đầu tư vốn nhà nước vào doanh nghiệp</w:t>
            </w:r>
            <w:r w:rsidR="003D20E5" w:rsidRPr="000C72D2">
              <w:rPr>
                <w:rFonts w:ascii="Times New Roman" w:hAnsi="Times New Roman" w:cs="Times New Roman"/>
                <w:sz w:val="25"/>
                <w:szCs w:val="25"/>
              </w:rPr>
              <w:t xml:space="preserve">; </w:t>
            </w:r>
            <w:r w:rsidR="003D20E5" w:rsidRPr="000C72D2">
              <w:rPr>
                <w:rFonts w:ascii="Times New Roman" w:hAnsi="Times New Roman" w:cs="Times New Roman"/>
                <w:sz w:val="25"/>
                <w:szCs w:val="25"/>
                <w:lang w:val="en"/>
              </w:rPr>
              <w:t>cơ chế chi trả tiền lương, thù lao, tiền thưởng đối với người đại diện chủ sở hữu trực tiếp, kiểm soát viên và người đại diện phần vốn nhà nước tại doanh nghiệp</w:t>
            </w:r>
            <w:r w:rsidR="00F910DA" w:rsidRPr="000C72D2">
              <w:rPr>
                <w:rFonts w:ascii="Times New Roman" w:hAnsi="Times New Roman" w:cs="Times New Roman"/>
                <w:sz w:val="25"/>
                <w:szCs w:val="25"/>
              </w:rPr>
              <w:t>.</w:t>
            </w:r>
          </w:p>
          <w:p w14:paraId="253587ED" w14:textId="47CF1706" w:rsidR="0080490F" w:rsidRPr="000C72D2" w:rsidRDefault="0080490F" w:rsidP="00E64833">
            <w:pPr>
              <w:jc w:val="both"/>
              <w:rPr>
                <w:rFonts w:ascii="Times New Roman" w:hAnsi="Times New Roman" w:cs="Times New Roman"/>
                <w:sz w:val="25"/>
                <w:szCs w:val="25"/>
              </w:rPr>
            </w:pPr>
            <w:r w:rsidRPr="000C72D2">
              <w:rPr>
                <w:rFonts w:ascii="Times New Roman" w:hAnsi="Times New Roman" w:cs="Times New Roman"/>
                <w:sz w:val="25"/>
                <w:szCs w:val="25"/>
              </w:rPr>
              <w:t xml:space="preserve">- Điều 4, Điều 12 </w:t>
            </w:r>
            <w:r w:rsidR="00DF3BAF" w:rsidRPr="000C72D2">
              <w:rPr>
                <w:rFonts w:ascii="Times New Roman" w:hAnsi="Times New Roman" w:cs="Times New Roman"/>
                <w:sz w:val="25"/>
                <w:szCs w:val="25"/>
              </w:rPr>
              <w:t>Luật số 68/2025/QH15</w:t>
            </w:r>
            <w:r w:rsidRPr="000C72D2">
              <w:rPr>
                <w:rFonts w:ascii="Times New Roman" w:hAnsi="Times New Roman" w:cs="Times New Roman"/>
                <w:sz w:val="25"/>
                <w:szCs w:val="25"/>
              </w:rPr>
              <w:t>.</w:t>
            </w:r>
          </w:p>
          <w:p w14:paraId="45BFA686" w14:textId="6EE0C2CB" w:rsidR="00F910DA" w:rsidRPr="000C72D2" w:rsidRDefault="0080490F" w:rsidP="00E64833">
            <w:pPr>
              <w:jc w:val="both"/>
              <w:rPr>
                <w:rFonts w:ascii="Times New Roman" w:hAnsi="Times New Roman" w:cs="Times New Roman"/>
                <w:sz w:val="25"/>
                <w:szCs w:val="25"/>
              </w:rPr>
            </w:pPr>
            <w:r w:rsidRPr="000C72D2">
              <w:rPr>
                <w:rFonts w:ascii="Times New Roman" w:hAnsi="Times New Roman" w:cs="Times New Roman"/>
                <w:sz w:val="25"/>
                <w:szCs w:val="25"/>
              </w:rPr>
              <w:lastRenderedPageBreak/>
              <w:t xml:space="preserve">- </w:t>
            </w:r>
            <w:r w:rsidR="00F910DA" w:rsidRPr="000C72D2">
              <w:rPr>
                <w:rFonts w:ascii="Times New Roman" w:hAnsi="Times New Roman" w:cs="Times New Roman"/>
                <w:sz w:val="25"/>
                <w:szCs w:val="25"/>
              </w:rPr>
              <w:t>Điều 27 Luật Ban hành văn bản quy phạm pháp luật quy định HĐND cấp tỉnh ban hành nghị quyết để quy định vấn đề được luật giao.</w:t>
            </w:r>
          </w:p>
        </w:tc>
        <w:tc>
          <w:tcPr>
            <w:tcW w:w="4678" w:type="dxa"/>
            <w:vAlign w:val="center"/>
          </w:tcPr>
          <w:p w14:paraId="76681D11" w14:textId="77777777" w:rsidR="00F910DA" w:rsidRPr="000C72D2" w:rsidRDefault="00F910DA" w:rsidP="00E64833">
            <w:pPr>
              <w:jc w:val="both"/>
              <w:rPr>
                <w:rStyle w:val="Strong"/>
                <w:rFonts w:ascii="Times New Roman" w:hAnsi="Times New Roman" w:cs="Times New Roman"/>
                <w:sz w:val="25"/>
                <w:szCs w:val="25"/>
              </w:rPr>
            </w:pPr>
            <w:r w:rsidRPr="000C72D2">
              <w:rPr>
                <w:rStyle w:val="Strong"/>
                <w:rFonts w:ascii="Times New Roman" w:hAnsi="Times New Roman" w:cs="Times New Roman"/>
                <w:sz w:val="25"/>
                <w:szCs w:val="25"/>
              </w:rPr>
              <w:lastRenderedPageBreak/>
              <w:t>Điều 1. Phạm vi điều chỉnh</w:t>
            </w:r>
          </w:p>
          <w:p w14:paraId="133002B9" w14:textId="77777777" w:rsidR="00691DD3" w:rsidRPr="000C72D2" w:rsidRDefault="00691DD3" w:rsidP="00E64833">
            <w:pPr>
              <w:widowControl w:val="0"/>
              <w:ind w:firstLine="34"/>
              <w:jc w:val="both"/>
              <w:rPr>
                <w:rFonts w:ascii="Times New Roman" w:eastAsia="Times New Roman" w:hAnsi="Times New Roman" w:cs="Times New Roman"/>
                <w:bCs/>
                <w:iCs/>
                <w:noProof/>
                <w:sz w:val="25"/>
                <w:szCs w:val="25"/>
              </w:rPr>
            </w:pPr>
            <w:bookmarkStart w:id="1" w:name="_Hlk230523086"/>
            <w:r w:rsidRPr="000C72D2">
              <w:rPr>
                <w:rFonts w:ascii="Times New Roman" w:eastAsia="Times New Roman" w:hAnsi="Times New Roman" w:cs="Times New Roman"/>
                <w:bCs/>
                <w:iCs/>
                <w:noProof/>
                <w:sz w:val="25"/>
                <w:szCs w:val="25"/>
              </w:rPr>
              <w:t>Nghị quyết này quy định:</w:t>
            </w:r>
          </w:p>
          <w:p w14:paraId="33E53C43" w14:textId="77777777" w:rsidR="00691DD3" w:rsidRPr="000C72D2" w:rsidRDefault="00691DD3" w:rsidP="00E64833">
            <w:pPr>
              <w:widowControl w:val="0"/>
              <w:ind w:firstLine="34"/>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1. Danh mục doanh nghiệp do Nhà nước nắm giữ cổ phần, vốn góp thuộc UBND thành phố Hà Nội.</w:t>
            </w:r>
          </w:p>
          <w:p w14:paraId="7C45B3FF" w14:textId="77777777" w:rsidR="00691DD3" w:rsidRPr="000C72D2" w:rsidRDefault="00691DD3" w:rsidP="00E64833">
            <w:pPr>
              <w:widowControl w:val="0"/>
              <w:ind w:firstLine="34"/>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Danh mục này là cơ sở thực hiện đầu tư vốn nhà nước vào doanh nghiệp, cơ cấu lại vốn nhà nước tại doanh nghiệp theo quy định tại Nghị quyết này và các quy định pháp luật có liên quan.</w:t>
            </w:r>
          </w:p>
          <w:p w14:paraId="19173FCA" w14:textId="77777777" w:rsidR="00691DD3" w:rsidRPr="000C72D2" w:rsidRDefault="00691DD3" w:rsidP="00E64833">
            <w:pPr>
              <w:widowControl w:val="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2</w:t>
            </w:r>
            <w:r w:rsidRPr="000C72D2">
              <w:rPr>
                <w:rFonts w:ascii="Times New Roman" w:eastAsia="Times New Roman" w:hAnsi="Times New Roman" w:cs="Times New Roman"/>
                <w:bCs/>
                <w:iCs/>
                <w:noProof/>
                <w:spacing w:val="-2"/>
                <w:sz w:val="25"/>
                <w:szCs w:val="25"/>
              </w:rPr>
              <w:t>. Q</w:t>
            </w:r>
            <w:r w:rsidRPr="000C72D2">
              <w:rPr>
                <w:rFonts w:ascii="Times New Roman" w:eastAsia="Times New Roman" w:hAnsi="Times New Roman" w:cs="Times New Roman"/>
                <w:bCs/>
                <w:iCs/>
                <w:noProof/>
                <w:spacing w:val="-2"/>
                <w:sz w:val="25"/>
                <w:szCs w:val="25"/>
                <w:lang w:val="vi-VN"/>
              </w:rPr>
              <w:t>uy định</w:t>
            </w:r>
            <w:r w:rsidRPr="000C72D2">
              <w:rPr>
                <w:rFonts w:ascii="Times New Roman" w:hAnsi="Times New Roman" w:cs="Times New Roman"/>
                <w:noProof/>
                <w:spacing w:val="-2"/>
                <w:sz w:val="25"/>
                <w:szCs w:val="25"/>
                <w:lang w:val="vi-VN"/>
              </w:rPr>
              <w:t xml:space="preserve"> </w:t>
            </w:r>
            <w:r w:rsidRPr="000C72D2">
              <w:rPr>
                <w:rFonts w:ascii="Times New Roman" w:hAnsi="Times New Roman" w:cs="Times New Roman"/>
                <w:noProof/>
                <w:spacing w:val="-2"/>
                <w:sz w:val="25"/>
                <w:szCs w:val="25"/>
              </w:rPr>
              <w:t>chi tiết về việc đầu tư vốn nhà nước vào doanh nghiệp của thành phố Hà Nội, bao gồm</w:t>
            </w:r>
            <w:r w:rsidRPr="000C72D2">
              <w:rPr>
                <w:rFonts w:ascii="Times New Roman" w:eastAsia="Times New Roman" w:hAnsi="Times New Roman" w:cs="Times New Roman"/>
                <w:bCs/>
                <w:iCs/>
                <w:noProof/>
                <w:spacing w:val="-2"/>
                <w:sz w:val="25"/>
                <w:szCs w:val="25"/>
              </w:rPr>
              <w:t>:</w:t>
            </w:r>
            <w:r w:rsidRPr="000C72D2">
              <w:rPr>
                <w:rFonts w:ascii="Times New Roman" w:eastAsia="Times New Roman" w:hAnsi="Times New Roman" w:cs="Times New Roman"/>
                <w:bCs/>
                <w:iCs/>
                <w:noProof/>
                <w:spacing w:val="-2"/>
                <w:sz w:val="25"/>
                <w:szCs w:val="25"/>
                <w:lang w:val="vi-VN"/>
              </w:rPr>
              <w:t xml:space="preserve"> </w:t>
            </w:r>
          </w:p>
          <w:p w14:paraId="2BF6EF7E" w14:textId="77777777" w:rsidR="00691DD3" w:rsidRPr="000C72D2" w:rsidRDefault="00691DD3" w:rsidP="00E64833">
            <w:pPr>
              <w:pStyle w:val="ListParagraph"/>
              <w:widowControl w:val="0"/>
              <w:numPr>
                <w:ilvl w:val="0"/>
                <w:numId w:val="36"/>
              </w:numPr>
              <w:ind w:firstLine="0"/>
              <w:contextualSpacing w:val="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Phạm vi đầu tư vốn nhà nước vào doanh nghiệp.</w:t>
            </w:r>
          </w:p>
          <w:p w14:paraId="3B4E76B6" w14:textId="77777777" w:rsidR="00691DD3" w:rsidRPr="000C72D2" w:rsidRDefault="00691DD3" w:rsidP="00E64833">
            <w:pPr>
              <w:pStyle w:val="ListParagraph"/>
              <w:widowControl w:val="0"/>
              <w:numPr>
                <w:ilvl w:val="0"/>
                <w:numId w:val="36"/>
              </w:numPr>
              <w:ind w:firstLine="0"/>
              <w:contextualSpacing w:val="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lastRenderedPageBreak/>
              <w:t>Thẩm quyền đầu tư vốn nhà nước vào doanh nghiệp.</w:t>
            </w:r>
          </w:p>
          <w:p w14:paraId="3BB286AF" w14:textId="77777777" w:rsidR="00691DD3" w:rsidRPr="000C72D2" w:rsidRDefault="00691DD3" w:rsidP="00E64833">
            <w:pPr>
              <w:pStyle w:val="ListParagraph"/>
              <w:widowControl w:val="0"/>
              <w:numPr>
                <w:ilvl w:val="0"/>
                <w:numId w:val="36"/>
              </w:numPr>
              <w:ind w:firstLine="0"/>
              <w:contextualSpacing w:val="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Trình tự, thủ tục đầu tư vốn nhà nước vào doanh nghiệp.</w:t>
            </w:r>
            <w:bookmarkEnd w:id="1"/>
          </w:p>
          <w:p w14:paraId="64642BBC" w14:textId="1BFF316A" w:rsidR="003D20E5" w:rsidRPr="000C72D2" w:rsidRDefault="003D20E5" w:rsidP="003D20E5">
            <w:pPr>
              <w:pStyle w:val="ListParagraph"/>
              <w:widowControl w:val="0"/>
              <w:ind w:left="0"/>
              <w:contextualSpacing w:val="0"/>
              <w:jc w:val="both"/>
              <w:rPr>
                <w:rFonts w:ascii="Times New Roman" w:eastAsia="Times New Roman" w:hAnsi="Times New Roman" w:cs="Times New Roman"/>
                <w:bCs/>
                <w:iCs/>
                <w:noProof/>
                <w:sz w:val="25"/>
                <w:szCs w:val="25"/>
              </w:rPr>
            </w:pPr>
            <w:r w:rsidRPr="000C72D2">
              <w:rPr>
                <w:rFonts w:ascii="Times New Roman" w:hAnsi="Times New Roman" w:cs="Times New Roman"/>
                <w:sz w:val="25"/>
                <w:szCs w:val="25"/>
                <w:lang w:val="en"/>
              </w:rPr>
              <w:t>3. Cơ chế chi trả tiền lương, thù lao, tiền thưởng đối với người đại diện chủ sở hữu trực tiếp, kiểm soát viên và người đại diện phần vốn nhà nước tại doanh nghiệp</w:t>
            </w:r>
          </w:p>
        </w:tc>
        <w:tc>
          <w:tcPr>
            <w:tcW w:w="6373" w:type="dxa"/>
            <w:vAlign w:val="center"/>
          </w:tcPr>
          <w:p w14:paraId="71EEA8F4" w14:textId="670AB080" w:rsidR="00F910DA" w:rsidRPr="000C72D2" w:rsidRDefault="001328AE" w:rsidP="00E64833">
            <w:pPr>
              <w:jc w:val="both"/>
              <w:rPr>
                <w:rFonts w:ascii="Times New Roman" w:hAnsi="Times New Roman" w:cs="Times New Roman"/>
                <w:sz w:val="25"/>
                <w:szCs w:val="25"/>
                <w:lang w:val="vi-VN"/>
              </w:rPr>
            </w:pPr>
            <w:r w:rsidRPr="000C72D2">
              <w:rPr>
                <w:rStyle w:val="Strong"/>
                <w:rFonts w:ascii="Times New Roman" w:hAnsi="Times New Roman" w:cs="Times New Roman"/>
                <w:b w:val="0"/>
                <w:bCs w:val="0"/>
                <w:sz w:val="25"/>
                <w:szCs w:val="25"/>
              </w:rPr>
              <w:lastRenderedPageBreak/>
              <w:t xml:space="preserve">Việc </w:t>
            </w:r>
            <w:r w:rsidR="003D20E5" w:rsidRPr="000C72D2">
              <w:rPr>
                <w:rStyle w:val="Strong"/>
                <w:rFonts w:ascii="Times New Roman" w:hAnsi="Times New Roman" w:cs="Times New Roman"/>
                <w:b w:val="0"/>
                <w:bCs w:val="0"/>
                <w:sz w:val="25"/>
                <w:szCs w:val="25"/>
              </w:rPr>
              <w:t>q</w:t>
            </w:r>
            <w:r w:rsidR="00E64833" w:rsidRPr="000C72D2">
              <w:rPr>
                <w:rStyle w:val="Strong"/>
                <w:rFonts w:ascii="Times New Roman" w:hAnsi="Times New Roman" w:cs="Times New Roman"/>
                <w:b w:val="0"/>
                <w:bCs w:val="0"/>
                <w:sz w:val="25"/>
                <w:szCs w:val="25"/>
              </w:rPr>
              <w:t xml:space="preserve">uy </w:t>
            </w:r>
            <w:r w:rsidRPr="000C72D2">
              <w:rPr>
                <w:rStyle w:val="Strong"/>
                <w:rFonts w:ascii="Times New Roman" w:hAnsi="Times New Roman" w:cs="Times New Roman"/>
                <w:b w:val="0"/>
                <w:bCs w:val="0"/>
                <w:sz w:val="25"/>
                <w:szCs w:val="25"/>
              </w:rPr>
              <w:t xml:space="preserve">định phạm vi điều chỉnh của Nghị quyết nhằm cụ thể hóa đầy đủ cơ chế phân quyền, phân cấp đặc thù cho Thủ đô theo điểm a khoản 9 Điều 26 </w:t>
            </w:r>
            <w:r w:rsidRPr="000C72D2">
              <w:rPr>
                <w:rStyle w:val="whitespace-normal"/>
                <w:rFonts w:ascii="Times New Roman" w:hAnsi="Times New Roman" w:cs="Times New Roman"/>
                <w:sz w:val="25"/>
                <w:szCs w:val="25"/>
              </w:rPr>
              <w:t>Luật Thủ đô</w:t>
            </w:r>
            <w:r w:rsidRPr="000C72D2">
              <w:rPr>
                <w:rStyle w:val="Strong"/>
                <w:rFonts w:ascii="Times New Roman" w:hAnsi="Times New Roman" w:cs="Times New Roman"/>
                <w:b w:val="0"/>
                <w:bCs w:val="0"/>
                <w:sz w:val="25"/>
                <w:szCs w:val="25"/>
              </w:rPr>
              <w:t xml:space="preserve">; đồng thời </w:t>
            </w:r>
            <w:r w:rsidR="003D20E5" w:rsidRPr="000C72D2">
              <w:rPr>
                <w:rStyle w:val="Strong"/>
                <w:rFonts w:ascii="Times New Roman" w:hAnsi="Times New Roman" w:cs="Times New Roman"/>
                <w:b w:val="0"/>
                <w:bCs w:val="0"/>
                <w:sz w:val="25"/>
                <w:szCs w:val="25"/>
              </w:rPr>
              <w:t>cụ thể</w:t>
            </w:r>
            <w:r w:rsidRPr="000C72D2">
              <w:rPr>
                <w:rStyle w:val="Strong"/>
                <w:rFonts w:ascii="Times New Roman" w:hAnsi="Times New Roman" w:cs="Times New Roman"/>
                <w:b w:val="0"/>
                <w:bCs w:val="0"/>
                <w:sz w:val="25"/>
                <w:szCs w:val="25"/>
              </w:rPr>
              <w:t xml:space="preserve"> hóa các chủ trương lớn của Trung ương về tiếp tục đổi mới, nâng cao hiệu quả doanh nghiệp nhà nước.</w:t>
            </w:r>
            <w:r w:rsidRPr="000C72D2">
              <w:rPr>
                <w:rFonts w:ascii="Times New Roman" w:hAnsi="Times New Roman" w:cs="Times New Roman"/>
                <w:sz w:val="25"/>
                <w:szCs w:val="25"/>
              </w:rPr>
              <w:t xml:space="preserve"> Tại mục III </w:t>
            </w:r>
            <w:r w:rsidRPr="000C72D2">
              <w:rPr>
                <w:rStyle w:val="whitespace-normal"/>
                <w:rFonts w:ascii="Times New Roman" w:hAnsi="Times New Roman" w:cs="Times New Roman"/>
                <w:sz w:val="25"/>
                <w:szCs w:val="25"/>
              </w:rPr>
              <w:t>Nghị quyết số 79-NQ/TW</w:t>
            </w:r>
            <w:r w:rsidRPr="000C72D2">
              <w:rPr>
                <w:rFonts w:ascii="Times New Roman" w:hAnsi="Times New Roman" w:cs="Times New Roman"/>
                <w:sz w:val="25"/>
                <w:szCs w:val="25"/>
              </w:rPr>
              <w:t xml:space="preserve">, Bộ Chính trị yêu cầu cơ cấu lại doanh nghiệp nhà nước theo hướng tập trung vào các lĩnh vực then chốt, thiết yếu, có vai trò dẫn dắt nền kinh tế và nâng cao năng lực cạnh tranh quốc gia. Đồng thời, tại mục II.2 </w:t>
            </w:r>
            <w:r w:rsidRPr="000C72D2">
              <w:rPr>
                <w:rStyle w:val="whitespace-normal"/>
                <w:rFonts w:ascii="Times New Roman" w:hAnsi="Times New Roman" w:cs="Times New Roman"/>
                <w:sz w:val="25"/>
                <w:szCs w:val="25"/>
              </w:rPr>
              <w:t>Nghị quyết số 02-NQ/TW</w:t>
            </w:r>
            <w:r w:rsidRPr="000C72D2">
              <w:rPr>
                <w:rFonts w:ascii="Times New Roman" w:hAnsi="Times New Roman" w:cs="Times New Roman"/>
                <w:sz w:val="25"/>
                <w:szCs w:val="25"/>
              </w:rPr>
              <w:t xml:space="preserve"> xác định xây dựng Hà Nội trở thành trung tâm đổi mới sáng tạo, tài chính, công nghệ cao và phát triển đô thị thông minh của cả nước. Trên cơ sở đó, việc ban hành Nghị quyết là cần thiết nhằm tạo cơ sở pháp lý để Thành phố chủ động tổ chức, quản lý và đầu tư vốn nhà nước tại doanh nghiệp phục vụ mục tiêu phát triển nhanh, bền vững của Thủ đô trong </w:t>
            </w:r>
            <w:r w:rsidRPr="000C72D2">
              <w:rPr>
                <w:rFonts w:ascii="Times New Roman" w:hAnsi="Times New Roman" w:cs="Times New Roman"/>
                <w:sz w:val="25"/>
                <w:szCs w:val="25"/>
              </w:rPr>
              <w:lastRenderedPageBreak/>
              <w:t>giai đoạn mới.</w:t>
            </w:r>
            <w:r w:rsidR="003D20E5" w:rsidRPr="000C72D2">
              <w:rPr>
                <w:rFonts w:ascii="Times New Roman" w:hAnsi="Times New Roman" w:cs="Times New Roman"/>
                <w:sz w:val="25"/>
                <w:szCs w:val="25"/>
              </w:rPr>
              <w:t xml:space="preserve"> Đồng thời, </w:t>
            </w:r>
            <w:r w:rsidR="003D20E5" w:rsidRPr="000C72D2">
              <w:rPr>
                <w:rFonts w:ascii="Times New Roman" w:hAnsi="Times New Roman" w:cs="Times New Roman"/>
                <w:sz w:val="25"/>
                <w:szCs w:val="25"/>
                <w:lang w:val="en"/>
              </w:rPr>
              <w:t>cụ thể hóa đầy đủ cơ chế chi trả tiền lương, thù lao, tiền thưởng đối với người đại diện chủ sở hữu trực tiếp, kiểm soát viên và người đại diện phần vốn nhà nước tại doanh nghiệp có vốn nhà nước.</w:t>
            </w:r>
          </w:p>
        </w:tc>
      </w:tr>
      <w:tr w:rsidR="00E64833" w:rsidRPr="000C72D2" w14:paraId="708C081C" w14:textId="77777777" w:rsidTr="000C72D2">
        <w:tc>
          <w:tcPr>
            <w:tcW w:w="746" w:type="dxa"/>
            <w:vAlign w:val="center"/>
          </w:tcPr>
          <w:p w14:paraId="564324DA" w14:textId="52FF1AB9" w:rsidR="00F910DA" w:rsidRPr="000C72D2" w:rsidRDefault="00F910DA"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68E9A791" w14:textId="67CA245E" w:rsidR="00F910DA" w:rsidRPr="000C72D2" w:rsidRDefault="00F910DA"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Điều 2, Điều 3 </w:t>
            </w:r>
            <w:r w:rsidR="00DF3BAF" w:rsidRPr="000C72D2">
              <w:rPr>
                <w:rFonts w:ascii="Times New Roman" w:hAnsi="Times New Roman" w:cs="Times New Roman"/>
                <w:sz w:val="25"/>
                <w:szCs w:val="25"/>
              </w:rPr>
              <w:t>Luật số 68/2025/QH15</w:t>
            </w:r>
            <w:r w:rsidRPr="000C72D2">
              <w:rPr>
                <w:rFonts w:ascii="Times New Roman" w:hAnsi="Times New Roman" w:cs="Times New Roman"/>
                <w:sz w:val="25"/>
                <w:szCs w:val="25"/>
              </w:rPr>
              <w:t xml:space="preserve"> quy định đối tượng áp dụng gồm cơ quan đại diện chủ sở hữu, doanh nghiệp có vốn nhà nước, người đại diện phần vốn nhà nước và các tổ chức, cá nhân có liên quan.</w:t>
            </w:r>
          </w:p>
        </w:tc>
        <w:tc>
          <w:tcPr>
            <w:tcW w:w="4678" w:type="dxa"/>
            <w:vAlign w:val="center"/>
          </w:tcPr>
          <w:p w14:paraId="6CC336A6" w14:textId="757DE11B" w:rsidR="00CC2560" w:rsidRPr="000C72D2" w:rsidRDefault="00F910DA" w:rsidP="00E64833">
            <w:pPr>
              <w:jc w:val="both"/>
              <w:rPr>
                <w:rFonts w:ascii="Times New Roman" w:hAnsi="Times New Roman" w:cs="Times New Roman"/>
                <w:b/>
                <w:bCs/>
                <w:sz w:val="25"/>
                <w:szCs w:val="25"/>
              </w:rPr>
            </w:pPr>
            <w:r w:rsidRPr="000C72D2">
              <w:rPr>
                <w:rFonts w:ascii="Times New Roman" w:hAnsi="Times New Roman" w:cs="Times New Roman"/>
                <w:b/>
                <w:bCs/>
                <w:sz w:val="25"/>
                <w:szCs w:val="25"/>
              </w:rPr>
              <w:t>Điều 2. Đối tượng áp dụng</w:t>
            </w:r>
          </w:p>
          <w:p w14:paraId="18146FD3" w14:textId="77777777" w:rsidR="00CC2560" w:rsidRPr="000C72D2" w:rsidRDefault="00CC2560" w:rsidP="00E64833">
            <w:pPr>
              <w:widowControl w:val="0"/>
              <w:jc w:val="both"/>
              <w:rPr>
                <w:rFonts w:ascii="Times New Roman" w:hAnsi="Times New Roman" w:cs="Times New Roman"/>
                <w:sz w:val="25"/>
                <w:szCs w:val="25"/>
              </w:rPr>
            </w:pPr>
            <w:r w:rsidRPr="000C72D2">
              <w:rPr>
                <w:rFonts w:ascii="Times New Roman" w:hAnsi="Times New Roman" w:cs="Times New Roman"/>
                <w:sz w:val="25"/>
                <w:szCs w:val="25"/>
              </w:rPr>
              <w:t xml:space="preserve">1. </w:t>
            </w:r>
            <w:bookmarkStart w:id="2" w:name="_Hlk230523188"/>
            <w:r w:rsidRPr="000C72D2">
              <w:rPr>
                <w:rFonts w:ascii="Times New Roman" w:hAnsi="Times New Roman" w:cs="Times New Roman"/>
                <w:sz w:val="25"/>
                <w:szCs w:val="25"/>
              </w:rPr>
              <w:t>Ủy ban nhân dân thành phố Hà Nội.</w:t>
            </w:r>
          </w:p>
          <w:p w14:paraId="6312AC52" w14:textId="563C53D0" w:rsidR="00CC2560" w:rsidRPr="000C72D2" w:rsidRDefault="00CC2560" w:rsidP="00E64833">
            <w:pPr>
              <w:widowControl w:val="0"/>
              <w:jc w:val="both"/>
              <w:rPr>
                <w:rFonts w:ascii="Times New Roman" w:hAnsi="Times New Roman" w:cs="Times New Roman"/>
                <w:sz w:val="25"/>
                <w:szCs w:val="25"/>
              </w:rPr>
            </w:pPr>
            <w:r w:rsidRPr="000C72D2">
              <w:rPr>
                <w:rFonts w:ascii="Times New Roman" w:hAnsi="Times New Roman" w:cs="Times New Roman"/>
                <w:sz w:val="25"/>
                <w:szCs w:val="25"/>
              </w:rPr>
              <w:t>2. Doanh nghiệp</w:t>
            </w:r>
            <w:r w:rsidR="003D20E5" w:rsidRPr="000C72D2">
              <w:rPr>
                <w:rFonts w:ascii="Times New Roman" w:hAnsi="Times New Roman" w:cs="Times New Roman"/>
                <w:sz w:val="25"/>
                <w:szCs w:val="25"/>
              </w:rPr>
              <w:t xml:space="preserve"> có vốn</w:t>
            </w:r>
            <w:r w:rsidRPr="000C72D2">
              <w:rPr>
                <w:rFonts w:ascii="Times New Roman" w:hAnsi="Times New Roman" w:cs="Times New Roman"/>
                <w:sz w:val="25"/>
                <w:szCs w:val="25"/>
              </w:rPr>
              <w:t xml:space="preserve"> nhà nước do Ủy ban nhân dân thành phố Hà Nội làm cơ quan đại diện chủ sở hữu.</w:t>
            </w:r>
          </w:p>
          <w:p w14:paraId="1668464A" w14:textId="0B9BB049" w:rsidR="00CC2560" w:rsidRPr="000C72D2" w:rsidRDefault="00CC2560" w:rsidP="00E64833">
            <w:pPr>
              <w:widowControl w:val="0"/>
              <w:jc w:val="both"/>
              <w:rPr>
                <w:rFonts w:ascii="Times New Roman" w:hAnsi="Times New Roman" w:cs="Times New Roman"/>
                <w:sz w:val="25"/>
                <w:szCs w:val="25"/>
              </w:rPr>
            </w:pPr>
            <w:r w:rsidRPr="000C72D2">
              <w:rPr>
                <w:rFonts w:ascii="Times New Roman" w:hAnsi="Times New Roman" w:cs="Times New Roman"/>
                <w:sz w:val="25"/>
                <w:szCs w:val="25"/>
              </w:rPr>
              <w:t>3. Người đại diện chủ sở hữu trực tiếp</w:t>
            </w:r>
            <w:r w:rsidR="003D20E5" w:rsidRPr="000C72D2">
              <w:rPr>
                <w:rFonts w:ascii="Times New Roman" w:hAnsi="Times New Roman" w:cs="Times New Roman"/>
                <w:sz w:val="25"/>
                <w:szCs w:val="25"/>
              </w:rPr>
              <w:t>, kiểm soát viên</w:t>
            </w:r>
            <w:r w:rsidRPr="000C72D2">
              <w:rPr>
                <w:rFonts w:ascii="Times New Roman" w:hAnsi="Times New Roman" w:cs="Times New Roman"/>
                <w:sz w:val="25"/>
                <w:szCs w:val="25"/>
              </w:rPr>
              <w:t>; Người đại diện phần vốn nhà nước đầu tư tại công ty cổ phần, công ty trách nhiệm hữu hạn hai thành viên trở lên do Ủy ban nhân dân thành phố Hà Nội làm cơ quan đại diện chủ sở hữu.</w:t>
            </w:r>
          </w:p>
          <w:p w14:paraId="66CE66DA" w14:textId="3ACDC0BB" w:rsidR="00F910DA" w:rsidRPr="000C72D2" w:rsidRDefault="00CC2560" w:rsidP="00E64833">
            <w:pPr>
              <w:widowControl w:val="0"/>
              <w:jc w:val="both"/>
              <w:rPr>
                <w:rFonts w:ascii="Times New Roman" w:eastAsia="Times New Roman" w:hAnsi="Times New Roman" w:cs="Times New Roman"/>
                <w:bCs/>
                <w:iCs/>
                <w:noProof/>
                <w:sz w:val="25"/>
                <w:szCs w:val="25"/>
                <w:lang w:val="vi-VN"/>
              </w:rPr>
            </w:pPr>
            <w:r w:rsidRPr="000C72D2">
              <w:rPr>
                <w:rFonts w:ascii="Times New Roman" w:hAnsi="Times New Roman" w:cs="Times New Roman"/>
                <w:sz w:val="25"/>
                <w:szCs w:val="25"/>
              </w:rPr>
              <w:t>5. Cơ quan, tổ chức và cá nhân có liên quan đến hoạt động quản lý, đầu tư vốn nhà nước tại doanh nghiệp.</w:t>
            </w:r>
            <w:bookmarkEnd w:id="2"/>
          </w:p>
        </w:tc>
        <w:tc>
          <w:tcPr>
            <w:tcW w:w="6373" w:type="dxa"/>
            <w:vAlign w:val="center"/>
          </w:tcPr>
          <w:p w14:paraId="174C98BB" w14:textId="61ABA5FC" w:rsidR="00F910DA" w:rsidRPr="000C72D2" w:rsidRDefault="00F910DA"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Nội dung cơ bản kế thừa quy định của Luật </w:t>
            </w:r>
            <w:r w:rsidR="00CC2560" w:rsidRPr="000C72D2">
              <w:rPr>
                <w:rFonts w:ascii="Times New Roman" w:hAnsi="Times New Roman" w:cs="Times New Roman"/>
                <w:sz w:val="25"/>
                <w:szCs w:val="25"/>
              </w:rPr>
              <w:t>số 68/2025/QH15</w:t>
            </w:r>
            <w:r w:rsidR="003D20E5" w:rsidRPr="000C72D2">
              <w:rPr>
                <w:rFonts w:ascii="Times New Roman" w:hAnsi="Times New Roman" w:cs="Times New Roman"/>
                <w:sz w:val="25"/>
                <w:szCs w:val="25"/>
              </w:rPr>
              <w:t>, các Nghị định của Chính phủ</w:t>
            </w:r>
            <w:r w:rsidR="00CC2560" w:rsidRPr="000C72D2">
              <w:rPr>
                <w:rFonts w:ascii="Times New Roman" w:hAnsi="Times New Roman" w:cs="Times New Roman"/>
                <w:sz w:val="25"/>
                <w:szCs w:val="25"/>
              </w:rPr>
              <w:t xml:space="preserve"> </w:t>
            </w:r>
            <w:r w:rsidRPr="000C72D2">
              <w:rPr>
                <w:rFonts w:ascii="Times New Roman" w:hAnsi="Times New Roman" w:cs="Times New Roman"/>
                <w:sz w:val="25"/>
                <w:szCs w:val="25"/>
              </w:rPr>
              <w:t>và được cụ thể hóa phù hợp mô hình quản lý của Thành phố.</w:t>
            </w:r>
          </w:p>
        </w:tc>
      </w:tr>
      <w:tr w:rsidR="00E64833" w:rsidRPr="000C72D2" w14:paraId="46E71011" w14:textId="77777777" w:rsidTr="000C72D2">
        <w:tc>
          <w:tcPr>
            <w:tcW w:w="746" w:type="dxa"/>
            <w:vAlign w:val="center"/>
          </w:tcPr>
          <w:p w14:paraId="472013A1" w14:textId="1FB10114" w:rsidR="00F910DA" w:rsidRPr="000C72D2" w:rsidRDefault="00F910DA"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5E8C5B26" w14:textId="0AF6449E" w:rsidR="0080490F" w:rsidRPr="000C72D2" w:rsidRDefault="0080490F" w:rsidP="00E64833">
            <w:pPr>
              <w:jc w:val="both"/>
              <w:rPr>
                <w:rFonts w:ascii="Times New Roman" w:hAnsi="Times New Roman" w:cs="Times New Roman"/>
                <w:sz w:val="25"/>
                <w:szCs w:val="25"/>
              </w:rPr>
            </w:pPr>
            <w:r w:rsidRPr="000C72D2">
              <w:rPr>
                <w:rFonts w:ascii="Times New Roman" w:hAnsi="Times New Roman" w:cs="Times New Roman"/>
                <w:sz w:val="25"/>
                <w:szCs w:val="25"/>
              </w:rPr>
              <w:t xml:space="preserve">- </w:t>
            </w:r>
            <w:r w:rsidR="00F910DA" w:rsidRPr="000C72D2">
              <w:rPr>
                <w:rFonts w:ascii="Times New Roman" w:hAnsi="Times New Roman" w:cs="Times New Roman"/>
                <w:sz w:val="25"/>
                <w:szCs w:val="25"/>
              </w:rPr>
              <w:t>Điều 4</w:t>
            </w:r>
            <w:r w:rsidRPr="000C72D2">
              <w:rPr>
                <w:rFonts w:ascii="Times New Roman" w:hAnsi="Times New Roman" w:cs="Times New Roman"/>
                <w:sz w:val="25"/>
                <w:szCs w:val="25"/>
              </w:rPr>
              <w:t xml:space="preserve">, Điều </w:t>
            </w:r>
            <w:r w:rsidR="008C5A3B" w:rsidRPr="000C72D2">
              <w:rPr>
                <w:rFonts w:ascii="Times New Roman" w:hAnsi="Times New Roman" w:cs="Times New Roman"/>
                <w:sz w:val="25"/>
                <w:szCs w:val="25"/>
              </w:rPr>
              <w:t>5</w:t>
            </w:r>
            <w:r w:rsidR="00F910DA" w:rsidRPr="000C72D2">
              <w:rPr>
                <w:rFonts w:ascii="Times New Roman" w:hAnsi="Times New Roman" w:cs="Times New Roman"/>
                <w:sz w:val="25"/>
                <w:szCs w:val="25"/>
              </w:rPr>
              <w:t xml:space="preserve"> </w:t>
            </w:r>
            <w:r w:rsidR="00DF3BAF" w:rsidRPr="000C72D2">
              <w:rPr>
                <w:rFonts w:ascii="Times New Roman" w:hAnsi="Times New Roman" w:cs="Times New Roman"/>
                <w:sz w:val="25"/>
                <w:szCs w:val="25"/>
              </w:rPr>
              <w:t>Luật số 68/2025/QH15</w:t>
            </w:r>
            <w:r w:rsidR="00F910DA" w:rsidRPr="000C72D2">
              <w:rPr>
                <w:rFonts w:ascii="Times New Roman" w:hAnsi="Times New Roman" w:cs="Times New Roman"/>
                <w:sz w:val="25"/>
                <w:szCs w:val="25"/>
              </w:rPr>
              <w:t xml:space="preserve"> quy định nguyên tắc quản lý, đầu tư vốn nhà nước phải bảo toàn và phát triển vốn, tập trung vào lĩnh vực thiết yếu.</w:t>
            </w:r>
          </w:p>
          <w:p w14:paraId="349DF243" w14:textId="74170464" w:rsidR="00F910DA" w:rsidRPr="000C72D2" w:rsidRDefault="0080490F"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 </w:t>
            </w:r>
            <w:r w:rsidR="00F910DA" w:rsidRPr="000C72D2">
              <w:rPr>
                <w:rFonts w:ascii="Times New Roman" w:hAnsi="Times New Roman" w:cs="Times New Roman"/>
                <w:sz w:val="25"/>
                <w:szCs w:val="25"/>
              </w:rPr>
              <w:t>Điều 6 Nghị định số 366/2025/NĐ-CP quy định phạm vi đầu tư vốn nhà nước vào doanh nghiệp.</w:t>
            </w:r>
          </w:p>
        </w:tc>
        <w:tc>
          <w:tcPr>
            <w:tcW w:w="4678" w:type="dxa"/>
            <w:vAlign w:val="center"/>
          </w:tcPr>
          <w:p w14:paraId="2FB23E45" w14:textId="639C57EE" w:rsidR="00CC2560" w:rsidRPr="000C72D2" w:rsidRDefault="00F910DA" w:rsidP="00E64833">
            <w:pPr>
              <w:jc w:val="both"/>
              <w:rPr>
                <w:rStyle w:val="Strong"/>
                <w:rFonts w:ascii="Times New Roman" w:hAnsi="Times New Roman" w:cs="Times New Roman"/>
                <w:sz w:val="25"/>
                <w:szCs w:val="25"/>
              </w:rPr>
            </w:pPr>
            <w:r w:rsidRPr="000C72D2">
              <w:rPr>
                <w:rStyle w:val="Strong"/>
                <w:rFonts w:ascii="Times New Roman" w:hAnsi="Times New Roman" w:cs="Times New Roman"/>
                <w:sz w:val="25"/>
                <w:szCs w:val="25"/>
              </w:rPr>
              <w:t>Điều 4. Nguyên tắc chung</w:t>
            </w:r>
          </w:p>
          <w:p w14:paraId="640BB268" w14:textId="77777777" w:rsidR="00CC2560" w:rsidRPr="000C72D2" w:rsidRDefault="00CC2560" w:rsidP="00E64833">
            <w:pPr>
              <w:pStyle w:val="ListParagraph"/>
              <w:widowControl w:val="0"/>
              <w:numPr>
                <w:ilvl w:val="0"/>
                <w:numId w:val="46"/>
              </w:numPr>
              <w:ind w:firstLine="0"/>
              <w:contextualSpacing w:val="0"/>
              <w:jc w:val="both"/>
              <w:rPr>
                <w:rFonts w:ascii="Times New Roman" w:hAnsi="Times New Roman" w:cs="Times New Roman"/>
                <w:bCs/>
                <w:iCs/>
                <w:sz w:val="25"/>
                <w:szCs w:val="25"/>
              </w:rPr>
            </w:pPr>
            <w:r w:rsidRPr="000C72D2">
              <w:rPr>
                <w:rFonts w:ascii="Times New Roman" w:hAnsi="Times New Roman" w:cs="Times New Roman"/>
                <w:bCs/>
                <w:iCs/>
                <w:sz w:val="25"/>
                <w:szCs w:val="25"/>
              </w:rPr>
              <w:t xml:space="preserve">UBND thành phố Hà Nội tiếp tục duy trì tỷ lệ vốn nhà nước nắm giữ 100% vốn điều lệ tại các doanh nghiệp hoạt động trong lĩnh vực cung ứng sản phẩm, dịch vụ công ích thiết yếu cho xã hội, cụ thể: cung cấp nước sạch, thoát nước và xử lý nước thải, vệ sinh môi trường, đường sắt đô thị, vận tải hành khách công cộng, quản lý, duy tu cây xanh đô thị, vườn hoa, công viên và các dịch vụ công ích thiết yếu khác bảo đảm lợi ích công cộng, an ninh đô thị; doanh nghiệp khoa học </w:t>
            </w:r>
            <w:r w:rsidRPr="000C72D2">
              <w:rPr>
                <w:rFonts w:ascii="Times New Roman" w:hAnsi="Times New Roman" w:cs="Times New Roman"/>
                <w:bCs/>
                <w:iCs/>
                <w:sz w:val="25"/>
                <w:szCs w:val="25"/>
              </w:rPr>
              <w:lastRenderedPageBreak/>
              <w:t>và công nghệ và các doanh nghiệp theo mục tiêu định hướng của Thủ đô theo từng thời kỳ.</w:t>
            </w:r>
          </w:p>
          <w:p w14:paraId="2FC83BB7" w14:textId="77777777" w:rsidR="00CC2560" w:rsidRPr="000C72D2" w:rsidRDefault="00CC2560" w:rsidP="00E64833">
            <w:pPr>
              <w:pStyle w:val="ListParagraph"/>
              <w:widowControl w:val="0"/>
              <w:numPr>
                <w:ilvl w:val="0"/>
                <w:numId w:val="46"/>
              </w:numPr>
              <w:ind w:firstLine="0"/>
              <w:contextualSpacing w:val="0"/>
              <w:jc w:val="both"/>
              <w:rPr>
                <w:rFonts w:ascii="Times New Roman" w:hAnsi="Times New Roman" w:cs="Times New Roman"/>
                <w:spacing w:val="3"/>
                <w:sz w:val="25"/>
                <w:szCs w:val="25"/>
                <w:shd w:val="clear" w:color="auto" w:fill="FFFFFF"/>
              </w:rPr>
            </w:pPr>
            <w:r w:rsidRPr="000C72D2">
              <w:rPr>
                <w:rFonts w:ascii="Times New Roman" w:hAnsi="Times New Roman" w:cs="Times New Roman"/>
                <w:spacing w:val="3"/>
                <w:sz w:val="25"/>
                <w:szCs w:val="25"/>
                <w:shd w:val="clear" w:color="auto" w:fill="FFFFFF"/>
              </w:rPr>
              <w:t xml:space="preserve">UBND thành phố Hà Nội nắm giữ cổ phần, vốn góp chi phối tại các doanh nghiệp hoạt động trong các lĩnh vực chiến lược, có tính dẫn dắt và tạo động lực tăng trưởng mới, cụ thể: đổi mới sáng tạo, chuyển đổi số, chuyển đổi xanh, ứng dụng khoa học công nghệ cao và các lĩnh vực khác theo </w:t>
            </w:r>
            <w:r w:rsidRPr="000C72D2">
              <w:rPr>
                <w:rFonts w:ascii="Times New Roman" w:hAnsi="Times New Roman" w:cs="Times New Roman"/>
                <w:sz w:val="25"/>
                <w:szCs w:val="25"/>
              </w:rPr>
              <w:t xml:space="preserve">theo định hướng phát triển của </w:t>
            </w:r>
            <w:r w:rsidRPr="000C72D2">
              <w:rPr>
                <w:rFonts w:ascii="Times New Roman" w:hAnsi="Times New Roman" w:cs="Times New Roman"/>
                <w:spacing w:val="3"/>
                <w:sz w:val="25"/>
                <w:szCs w:val="25"/>
                <w:shd w:val="clear" w:color="auto" w:fill="FFFFFF"/>
              </w:rPr>
              <w:t>thành phố Hà Nội trong từng thời kỳ.</w:t>
            </w:r>
          </w:p>
          <w:p w14:paraId="2FA79F97" w14:textId="765B1F7C" w:rsidR="00CC2560" w:rsidRPr="00B725C7" w:rsidRDefault="00B725C7" w:rsidP="00E64833">
            <w:pPr>
              <w:pStyle w:val="ListParagraph"/>
              <w:widowControl w:val="0"/>
              <w:numPr>
                <w:ilvl w:val="0"/>
                <w:numId w:val="46"/>
              </w:numPr>
              <w:ind w:firstLine="0"/>
              <w:contextualSpacing w:val="0"/>
              <w:jc w:val="both"/>
              <w:rPr>
                <w:rFonts w:ascii="Times New Roman" w:hAnsi="Times New Roman" w:cs="Times New Roman"/>
                <w:spacing w:val="3"/>
                <w:sz w:val="25"/>
                <w:szCs w:val="25"/>
                <w:shd w:val="clear" w:color="auto" w:fill="FFFFFF"/>
              </w:rPr>
            </w:pPr>
            <w:r w:rsidRPr="00B725C7">
              <w:rPr>
                <w:rFonts w:ascii="Times New Roman" w:hAnsi="Times New Roman" w:cs="Times New Roman"/>
                <w:spacing w:val="3"/>
                <w:sz w:val="25"/>
                <w:szCs w:val="25"/>
                <w:shd w:val="clear" w:color="auto" w:fill="FFFFFF"/>
              </w:rPr>
              <w:t>UBND thành phố Hà Nội thực hiện đầu tư vốn nhà nước vào doanh nghiệp thuộc phạm vi quy định của Luật, Chính phủ, Thủ tướng Chính phủ và theo danh mục tại quyết định của UBND Thành phố tại Điều 5 Nghị quyết này và các văn bản sửa đổi, bổ sung thay thế</w:t>
            </w:r>
            <w:r w:rsidR="00CC2560" w:rsidRPr="00B725C7">
              <w:rPr>
                <w:rFonts w:ascii="Times New Roman" w:hAnsi="Times New Roman" w:cs="Times New Roman"/>
                <w:spacing w:val="3"/>
                <w:sz w:val="25"/>
                <w:szCs w:val="25"/>
                <w:shd w:val="clear" w:color="auto" w:fill="FFFFFF"/>
              </w:rPr>
              <w:t>.</w:t>
            </w:r>
          </w:p>
          <w:p w14:paraId="4CA241F7" w14:textId="77777777" w:rsidR="00CC2560" w:rsidRPr="000C72D2" w:rsidRDefault="00CC2560" w:rsidP="00E64833">
            <w:pPr>
              <w:pStyle w:val="ListParagraph"/>
              <w:widowControl w:val="0"/>
              <w:numPr>
                <w:ilvl w:val="0"/>
                <w:numId w:val="46"/>
              </w:numPr>
              <w:ind w:firstLine="0"/>
              <w:contextualSpacing w:val="0"/>
              <w:jc w:val="both"/>
              <w:rPr>
                <w:rFonts w:ascii="Times New Roman" w:hAnsi="Times New Roman" w:cs="Times New Roman"/>
                <w:sz w:val="25"/>
                <w:szCs w:val="25"/>
              </w:rPr>
            </w:pPr>
            <w:r w:rsidRPr="000C72D2">
              <w:rPr>
                <w:rFonts w:ascii="Times New Roman" w:hAnsi="Times New Roman" w:cs="Times New Roman"/>
                <w:spacing w:val="3"/>
                <w:sz w:val="25"/>
                <w:szCs w:val="25"/>
                <w:shd w:val="clear" w:color="auto" w:fill="FFFFFF"/>
              </w:rPr>
              <w:t>Thoái toàn bộ vốn nhà nước hoặc chuyển giao quyền đại diện vốn nhà nước tại các doanh nghiệp hoạt động trong ngành, lĩnh vực không cần thiết Nhà nước nắm giữ, hoạt động không hiệu quả.</w:t>
            </w:r>
          </w:p>
          <w:p w14:paraId="07C97FF8" w14:textId="77777777" w:rsidR="00CC2560" w:rsidRPr="000C72D2" w:rsidRDefault="00CC2560" w:rsidP="00E64833">
            <w:pPr>
              <w:pStyle w:val="ListParagraph"/>
              <w:widowControl w:val="0"/>
              <w:numPr>
                <w:ilvl w:val="0"/>
                <w:numId w:val="46"/>
              </w:numPr>
              <w:ind w:firstLine="0"/>
              <w:contextualSpacing w:val="0"/>
              <w:jc w:val="both"/>
              <w:rPr>
                <w:rFonts w:ascii="Times New Roman" w:hAnsi="Times New Roman" w:cs="Times New Roman"/>
                <w:sz w:val="25"/>
                <w:szCs w:val="25"/>
              </w:rPr>
            </w:pPr>
            <w:r w:rsidRPr="000C72D2">
              <w:rPr>
                <w:rFonts w:ascii="Times New Roman" w:hAnsi="Times New Roman" w:cs="Times New Roman"/>
                <w:spacing w:val="3"/>
                <w:sz w:val="25"/>
                <w:szCs w:val="25"/>
                <w:shd w:val="clear" w:color="auto" w:fill="FFFFFF"/>
              </w:rPr>
              <w:t>Việc cơ cấu lại vốn nhà nước tại doanh nghiệp, tổ chức lại doanh nghiệp nhằm nâng cao hiệu lực, hiệu quả quản lý, đầu tư vốn nhà nước của UBND Thành phố tại doanh nghiệp.</w:t>
            </w:r>
          </w:p>
          <w:p w14:paraId="2A63C7F6" w14:textId="076DCD72" w:rsidR="00F910DA" w:rsidRPr="000C72D2" w:rsidRDefault="00CC2560" w:rsidP="00E64833">
            <w:pPr>
              <w:jc w:val="both"/>
              <w:rPr>
                <w:rFonts w:ascii="Times New Roman" w:hAnsi="Times New Roman" w:cs="Times New Roman"/>
                <w:sz w:val="25"/>
                <w:szCs w:val="25"/>
                <w:lang w:val="vi-VN"/>
              </w:rPr>
            </w:pPr>
            <w:r w:rsidRPr="000C72D2">
              <w:rPr>
                <w:rFonts w:ascii="Times New Roman" w:hAnsi="Times New Roman" w:cs="Times New Roman"/>
                <w:spacing w:val="3"/>
                <w:sz w:val="25"/>
                <w:szCs w:val="25"/>
                <w:shd w:val="clear" w:color="auto" w:fill="FFFFFF"/>
              </w:rPr>
              <w:t xml:space="preserve">Các quy định về đầu tư vốn nhà nước vào doanh nghiệp được thực hiện theo quy định tại Luật Thủ đô và Nghị quyết này; trường hợp Luật Thủ đô và Nghị quyết này không quy định, được thực hiện theo quy định tại </w:t>
            </w:r>
            <w:r w:rsidR="00DF3BAF" w:rsidRPr="000C72D2">
              <w:rPr>
                <w:rFonts w:ascii="Times New Roman" w:hAnsi="Times New Roman" w:cs="Times New Roman"/>
                <w:spacing w:val="3"/>
                <w:sz w:val="25"/>
                <w:szCs w:val="25"/>
                <w:shd w:val="clear" w:color="auto" w:fill="FFFFFF"/>
              </w:rPr>
              <w:lastRenderedPageBreak/>
              <w:t>Luật số 68/2025/QH15</w:t>
            </w:r>
            <w:r w:rsidRPr="000C72D2">
              <w:rPr>
                <w:rFonts w:ascii="Times New Roman" w:hAnsi="Times New Roman" w:cs="Times New Roman"/>
                <w:spacing w:val="3"/>
                <w:sz w:val="25"/>
                <w:szCs w:val="25"/>
                <w:shd w:val="clear" w:color="auto" w:fill="FFFFFF"/>
              </w:rPr>
              <w:t>, Luật Doanh nghiệp và các luật có liên quan.</w:t>
            </w:r>
            <w:r w:rsidR="00F910DA" w:rsidRPr="000C72D2">
              <w:rPr>
                <w:rFonts w:ascii="Times New Roman" w:hAnsi="Times New Roman" w:cs="Times New Roman"/>
                <w:sz w:val="25"/>
                <w:szCs w:val="25"/>
              </w:rPr>
              <w:t xml:space="preserve"> quy định Thành phố duy trì 100% vốn nhà nước tại doanh nghiệp công ích thiết yếu; nắm giữ cổ phần chi phối tại lĩnh vực chiến lược; thực hiện thoái vốn tại lĩnh vực Nhà nước không cần nắm giữ.</w:t>
            </w:r>
          </w:p>
        </w:tc>
        <w:tc>
          <w:tcPr>
            <w:tcW w:w="6373" w:type="dxa"/>
            <w:vAlign w:val="center"/>
          </w:tcPr>
          <w:p w14:paraId="50FAF71E" w14:textId="1CA6791E" w:rsidR="00F910DA" w:rsidRPr="000C72D2" w:rsidRDefault="001328AE"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lastRenderedPageBreak/>
              <w:t xml:space="preserve">Nội dung này nhằm cụ thể hóa định hướng của Trung ương về đổi mới và cơ cấu lại doanh nghiệp nhà nước theo hướng tập trung, hiệu quả và có trọng tâm, trọng điểm. Tại điểm 2 mục III Nghị quyết số 79-NQ/TW yêu cầu doanh nghiệp nhà nước tập trung vào lĩnh vực hạ tầng chiến lược, dịch vụ công ích thiết yếu, quốc phòng, an ninh và các ngành, lĩnh vực quan trọng mà khu vực kinh tế khác chưa tham gia hiệu quả. Đồng thời, tại mục III.1 </w:t>
            </w:r>
            <w:r w:rsidRPr="000C72D2">
              <w:rPr>
                <w:rStyle w:val="whitespace-normal"/>
                <w:rFonts w:ascii="Times New Roman" w:hAnsi="Times New Roman" w:cs="Times New Roman"/>
                <w:sz w:val="25"/>
                <w:szCs w:val="25"/>
              </w:rPr>
              <w:t>Nghị quyết số 57-NQ/TW</w:t>
            </w:r>
            <w:r w:rsidRPr="000C72D2">
              <w:rPr>
                <w:rFonts w:ascii="Times New Roman" w:hAnsi="Times New Roman" w:cs="Times New Roman"/>
                <w:sz w:val="25"/>
                <w:szCs w:val="25"/>
              </w:rPr>
              <w:t xml:space="preserve"> xác định khoa học, công nghệ, đổi mới sáng tạo và chuyển đổi số là động lực chính để phát triển lực lượng sản xuất hiện đại và đổi mới mô hình tăng trưởng. Trên cơ sở đó, dự thảo Nghị quyết xác định Thành phố tiếp tục duy trì 100% vốn nhà nước tại doanh </w:t>
            </w:r>
            <w:r w:rsidRPr="000C72D2">
              <w:rPr>
                <w:rFonts w:ascii="Times New Roman" w:hAnsi="Times New Roman" w:cs="Times New Roman"/>
                <w:sz w:val="25"/>
                <w:szCs w:val="25"/>
              </w:rPr>
              <w:lastRenderedPageBreak/>
              <w:t xml:space="preserve">nghiệp cung cấp nước sạch, thoát nước, môi trường đô thị, vận tải hành khách công cộng, đường sắt đô thị và các lĩnh vực công ích thiết yếu nhằm bảo đảm an sinh xã hội, an ninh đô thị và vai trò điều tiết của Nhà nước. Đồng thời, việc nắm giữ cổ phần chi phối tại các doanh nghiệp hoạt động trong lĩnh vực đổi mới sáng tạo, công nghệ cao, chuyển đổi số, chuyển đổi xanh nhằm hình thành các doanh nghiệp dẫn dắt, thúc đẩy phát triển kinh tế số, đô thị thông minh và nâng cao năng lực cạnh tranh của Thủ đô. Việc thoái vốn tại các doanh nghiệp Nhà nước không cần nắm giữ nhằm thực hiện chủ trương tinh gọn, nâng cao hiệu quả đầu tư vốn nhà nước, giảm đầu tư dàn trải theo yêu cầu tại mục III </w:t>
            </w:r>
            <w:r w:rsidRPr="000C72D2">
              <w:rPr>
                <w:rStyle w:val="whitespace-normal"/>
                <w:rFonts w:ascii="Times New Roman" w:hAnsi="Times New Roman" w:cs="Times New Roman"/>
                <w:sz w:val="25"/>
                <w:szCs w:val="25"/>
              </w:rPr>
              <w:t>Nghị quyết số 79-NQ/TW</w:t>
            </w:r>
            <w:r w:rsidRPr="000C72D2">
              <w:rPr>
                <w:rFonts w:ascii="Times New Roman" w:hAnsi="Times New Roman" w:cs="Times New Roman"/>
                <w:sz w:val="25"/>
                <w:szCs w:val="25"/>
              </w:rPr>
              <w:t>.</w:t>
            </w:r>
          </w:p>
        </w:tc>
      </w:tr>
      <w:tr w:rsidR="00E64833" w:rsidRPr="000C72D2" w14:paraId="081E740C" w14:textId="77777777" w:rsidTr="000C72D2">
        <w:tc>
          <w:tcPr>
            <w:tcW w:w="746" w:type="dxa"/>
            <w:vAlign w:val="center"/>
          </w:tcPr>
          <w:p w14:paraId="1EC5C18F" w14:textId="77777777" w:rsidR="00E51786" w:rsidRPr="000C72D2" w:rsidRDefault="00E51786"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71A3CF9A" w14:textId="7D207256" w:rsidR="00E51786" w:rsidRPr="000C72D2" w:rsidRDefault="008C5A3B" w:rsidP="00E64833">
            <w:pPr>
              <w:jc w:val="both"/>
              <w:rPr>
                <w:rFonts w:ascii="Times New Roman" w:hAnsi="Times New Roman" w:cs="Times New Roman"/>
                <w:sz w:val="25"/>
                <w:szCs w:val="25"/>
              </w:rPr>
            </w:pPr>
            <w:r w:rsidRPr="000C72D2">
              <w:rPr>
                <w:rFonts w:ascii="Times New Roman" w:hAnsi="Times New Roman" w:cs="Times New Roman"/>
                <w:sz w:val="25"/>
                <w:szCs w:val="25"/>
              </w:rPr>
              <w:t xml:space="preserve">- </w:t>
            </w:r>
            <w:r w:rsidR="009C3949" w:rsidRPr="000C72D2">
              <w:rPr>
                <w:rFonts w:ascii="Times New Roman" w:hAnsi="Times New Roman" w:cs="Times New Roman"/>
                <w:sz w:val="25"/>
                <w:szCs w:val="25"/>
              </w:rPr>
              <w:t xml:space="preserve">Điều </w:t>
            </w:r>
            <w:r w:rsidRPr="000C72D2">
              <w:rPr>
                <w:rFonts w:ascii="Times New Roman" w:hAnsi="Times New Roman" w:cs="Times New Roman"/>
                <w:sz w:val="25"/>
                <w:szCs w:val="25"/>
              </w:rPr>
              <w:t>2</w:t>
            </w:r>
            <w:r w:rsidR="009C3949" w:rsidRPr="000C72D2">
              <w:rPr>
                <w:rFonts w:ascii="Times New Roman" w:hAnsi="Times New Roman" w:cs="Times New Roman"/>
                <w:sz w:val="25"/>
                <w:szCs w:val="25"/>
              </w:rPr>
              <w:t xml:space="preserve">9, Điều </w:t>
            </w:r>
            <w:r w:rsidRPr="000C72D2">
              <w:rPr>
                <w:rFonts w:ascii="Times New Roman" w:hAnsi="Times New Roman" w:cs="Times New Roman"/>
                <w:sz w:val="25"/>
                <w:szCs w:val="25"/>
              </w:rPr>
              <w:t>3</w:t>
            </w:r>
            <w:r w:rsidR="009C3949" w:rsidRPr="000C72D2">
              <w:rPr>
                <w:rFonts w:ascii="Times New Roman" w:hAnsi="Times New Roman" w:cs="Times New Roman"/>
                <w:sz w:val="25"/>
                <w:szCs w:val="25"/>
              </w:rPr>
              <w:t xml:space="preserve">0 </w:t>
            </w:r>
            <w:r w:rsidR="00DF3BAF" w:rsidRPr="000C72D2">
              <w:rPr>
                <w:rFonts w:ascii="Times New Roman" w:hAnsi="Times New Roman" w:cs="Times New Roman"/>
                <w:sz w:val="25"/>
                <w:szCs w:val="25"/>
              </w:rPr>
              <w:t>Luật số 68/2025/QH15</w:t>
            </w:r>
            <w:r w:rsidR="009C3949" w:rsidRPr="000C72D2">
              <w:rPr>
                <w:rFonts w:ascii="Times New Roman" w:hAnsi="Times New Roman" w:cs="Times New Roman"/>
                <w:sz w:val="25"/>
                <w:szCs w:val="25"/>
              </w:rPr>
              <w:t xml:space="preserve"> quy định cơ cấu lại vốn nhà nước tại doanh nghiệp</w:t>
            </w:r>
            <w:r w:rsidR="00FA4354" w:rsidRPr="000C72D2">
              <w:rPr>
                <w:rFonts w:ascii="Times New Roman" w:hAnsi="Times New Roman" w:cs="Times New Roman"/>
                <w:sz w:val="25"/>
                <w:szCs w:val="25"/>
              </w:rPr>
              <w:t>.</w:t>
            </w:r>
          </w:p>
          <w:p w14:paraId="239F4180" w14:textId="4A5214C4" w:rsidR="00D46462" w:rsidRPr="000C72D2" w:rsidRDefault="008C5A3B" w:rsidP="00E64833">
            <w:pPr>
              <w:jc w:val="both"/>
              <w:rPr>
                <w:rFonts w:ascii="Times New Roman" w:hAnsi="Times New Roman" w:cs="Times New Roman"/>
                <w:sz w:val="25"/>
                <w:szCs w:val="25"/>
              </w:rPr>
            </w:pPr>
            <w:r w:rsidRPr="000C72D2">
              <w:rPr>
                <w:rFonts w:ascii="Times New Roman" w:hAnsi="Times New Roman" w:cs="Times New Roman"/>
                <w:sz w:val="25"/>
                <w:szCs w:val="25"/>
              </w:rPr>
              <w:t xml:space="preserve">- Quyết định …/2026/QĐ-TTg ngày …/…/2026 của Thủ tướng Chính phủ quy định Tiêu chí phân loại doanh nghiệp nhà nước, doanh nghiệp có vốn nhà nước </w:t>
            </w:r>
            <w:r w:rsidR="00BD17E5" w:rsidRPr="000C72D2">
              <w:rPr>
                <w:rFonts w:ascii="Times New Roman" w:hAnsi="Times New Roman" w:cs="Times New Roman"/>
                <w:i/>
                <w:iCs/>
                <w:sz w:val="25"/>
                <w:szCs w:val="25"/>
              </w:rPr>
              <w:t>(dự kiến ban hành cuối tháng 5/2026)</w:t>
            </w:r>
            <w:r w:rsidR="000809A2" w:rsidRPr="000C72D2">
              <w:rPr>
                <w:rFonts w:ascii="Times New Roman" w:hAnsi="Times New Roman" w:cs="Times New Roman"/>
                <w:i/>
                <w:iCs/>
                <w:sz w:val="25"/>
                <w:szCs w:val="25"/>
              </w:rPr>
              <w:t xml:space="preserve">, </w:t>
            </w:r>
            <w:r w:rsidR="000809A2" w:rsidRPr="000C72D2">
              <w:rPr>
                <w:rFonts w:ascii="Times New Roman" w:hAnsi="Times New Roman" w:cs="Times New Roman"/>
                <w:sz w:val="25"/>
                <w:szCs w:val="25"/>
              </w:rPr>
              <w:t>trong đó tại</w:t>
            </w:r>
            <w:r w:rsidR="00FA4354" w:rsidRPr="000C72D2">
              <w:rPr>
                <w:rFonts w:ascii="Times New Roman" w:hAnsi="Times New Roman" w:cs="Times New Roman"/>
                <w:sz w:val="25"/>
                <w:szCs w:val="25"/>
              </w:rPr>
              <w:t xml:space="preserve"> </w:t>
            </w:r>
            <w:r w:rsidR="00D46462" w:rsidRPr="000C72D2">
              <w:rPr>
                <w:rFonts w:ascii="Times New Roman" w:hAnsi="Times New Roman" w:cs="Times New Roman"/>
                <w:sz w:val="25"/>
                <w:szCs w:val="25"/>
              </w:rPr>
              <w:t>Điều 4</w:t>
            </w:r>
            <w:r w:rsidR="00FA4354" w:rsidRPr="000C72D2">
              <w:rPr>
                <w:rFonts w:ascii="Times New Roman" w:hAnsi="Times New Roman" w:cs="Times New Roman"/>
                <w:sz w:val="25"/>
                <w:szCs w:val="25"/>
              </w:rPr>
              <w:t xml:space="preserve">: </w:t>
            </w:r>
            <w:r w:rsidR="00D46462" w:rsidRPr="000C72D2">
              <w:rPr>
                <w:rFonts w:ascii="Times New Roman" w:hAnsi="Times New Roman" w:cs="Times New Roman"/>
                <w:sz w:val="25"/>
                <w:szCs w:val="25"/>
              </w:rPr>
              <w:t xml:space="preserve">c) Đối với doanh nghiệp có ngành, lĩnh vực không thuộc Tiêu chí phân loại quy định tại Điều 3 thì thực hiện theo hướng Nhà nước không nắm giữ cổ phần, vốn góp. Trường hợp thực hiện khác với quy định này, cơ quan đại diện chủ sở hữu phải báo cáo Thủ tướng Chính phủ xem xét, quyết định. d) Trường hợp cơ cấu lại vốn nhà nước tại doanh nghiệp khác về tỷ lệ vốn nhà nước theo Tiêu chí phân loại quy định tại khoản 1 Điều 3 </w:t>
            </w:r>
            <w:r w:rsidR="00D46462" w:rsidRPr="000C72D2">
              <w:rPr>
                <w:rFonts w:ascii="Times New Roman" w:hAnsi="Times New Roman" w:cs="Times New Roman"/>
                <w:sz w:val="25"/>
                <w:szCs w:val="25"/>
              </w:rPr>
              <w:lastRenderedPageBreak/>
              <w:t>Quyết định này, cơ quan đại diện chủ sở hữu báo cáo Thủ tướng Chính phủ quyết định</w:t>
            </w:r>
            <w:r w:rsidR="00665B5F" w:rsidRPr="000C72D2">
              <w:rPr>
                <w:rFonts w:ascii="Times New Roman" w:hAnsi="Times New Roman" w:cs="Times New Roman"/>
                <w:sz w:val="25"/>
                <w:szCs w:val="25"/>
              </w:rPr>
              <w:t xml:space="preserve"> (trừ ngành, lĩnh vực khai thác, sản xuất, cung cấp nước sạch và thoát nước đô thị, nông thôn thì thực hiện theo khoản 2 và 3 Điều 9 Quyết định này).</w:t>
            </w:r>
          </w:p>
        </w:tc>
        <w:tc>
          <w:tcPr>
            <w:tcW w:w="4678" w:type="dxa"/>
            <w:vAlign w:val="center"/>
          </w:tcPr>
          <w:p w14:paraId="6F40A46B" w14:textId="74E9F516" w:rsidR="00D130E1" w:rsidRPr="000C72D2" w:rsidRDefault="00E51786" w:rsidP="000C72D2">
            <w:pPr>
              <w:jc w:val="both"/>
              <w:rPr>
                <w:rStyle w:val="Strong"/>
                <w:rFonts w:ascii="Times New Roman" w:hAnsi="Times New Roman" w:cs="Times New Roman"/>
                <w:b w:val="0"/>
                <w:bCs w:val="0"/>
                <w:sz w:val="25"/>
                <w:szCs w:val="25"/>
              </w:rPr>
            </w:pPr>
            <w:r w:rsidRPr="000C72D2">
              <w:rPr>
                <w:rStyle w:val="Strong"/>
                <w:rFonts w:ascii="Times New Roman" w:hAnsi="Times New Roman" w:cs="Times New Roman"/>
                <w:sz w:val="25"/>
                <w:szCs w:val="25"/>
              </w:rPr>
              <w:lastRenderedPageBreak/>
              <w:t>Điều 5. Danh mục doanh nghiệp Nhà nước nắm giữ cổ phần, vốn góp</w:t>
            </w:r>
            <w:r w:rsidRPr="000C72D2">
              <w:rPr>
                <w:rStyle w:val="Strong"/>
                <w:rFonts w:ascii="Times New Roman" w:hAnsi="Times New Roman" w:cs="Times New Roman"/>
                <w:b w:val="0"/>
                <w:bCs w:val="0"/>
                <w:sz w:val="25"/>
                <w:szCs w:val="25"/>
              </w:rPr>
              <w:t>.</w:t>
            </w:r>
          </w:p>
          <w:p w14:paraId="2784BAD5" w14:textId="77777777" w:rsidR="00D130E1" w:rsidRPr="000C72D2" w:rsidRDefault="00D130E1" w:rsidP="000C72D2">
            <w:pPr>
              <w:widowControl w:val="0"/>
              <w:spacing w:before="2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Căn cứ phương án sắp xếp, cơ cấu lại doanh nghiệp nhà nước, doanh nghiệp có vốn nhà nước thuộc UBND thành phố Hà Nội giai đoạn 2026-2030 được Thành ủy thông qua, giao UBND thành phố Hà Nội ban hành Kế hoạch cơ cấu lại vốn nhà nước tại doanh nghiệp có vốn nhà nước thuộc UBND thành phố Hà Nội giai đoạn 2026-2030, gồm các nội dung:</w:t>
            </w:r>
          </w:p>
          <w:p w14:paraId="2A004935" w14:textId="77777777" w:rsidR="00D130E1" w:rsidRPr="000C72D2" w:rsidRDefault="00D130E1" w:rsidP="000C72D2">
            <w:pPr>
              <w:pStyle w:val="ListParagraph"/>
              <w:widowControl w:val="0"/>
              <w:numPr>
                <w:ilvl w:val="0"/>
                <w:numId w:val="49"/>
              </w:numPr>
              <w:spacing w:before="20"/>
              <w:ind w:firstLine="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Danh mục doanh nghiệp Nhà nước tiếp tục nắm giữ 100% vốn điều lệ.</w:t>
            </w:r>
          </w:p>
          <w:p w14:paraId="68054933" w14:textId="77777777" w:rsidR="00D130E1" w:rsidRPr="000C72D2" w:rsidRDefault="00D130E1" w:rsidP="000C72D2">
            <w:pPr>
              <w:pStyle w:val="ListParagraph"/>
              <w:widowControl w:val="0"/>
              <w:numPr>
                <w:ilvl w:val="0"/>
                <w:numId w:val="49"/>
              </w:numPr>
              <w:spacing w:before="20"/>
              <w:ind w:firstLine="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 xml:space="preserve">Danh mục doanh nghiệp giữ nguyên tỷ lệ vốn nhà nước đang nắm giữ. </w:t>
            </w:r>
          </w:p>
          <w:p w14:paraId="2DD6064A" w14:textId="77777777" w:rsidR="00D130E1" w:rsidRPr="000C72D2" w:rsidRDefault="00D130E1" w:rsidP="000C72D2">
            <w:pPr>
              <w:pStyle w:val="ListParagraph"/>
              <w:widowControl w:val="0"/>
              <w:numPr>
                <w:ilvl w:val="0"/>
                <w:numId w:val="49"/>
              </w:numPr>
              <w:spacing w:before="20"/>
              <w:ind w:firstLine="0"/>
              <w:jc w:val="both"/>
              <w:rPr>
                <w:rFonts w:ascii="Times New Roman" w:eastAsia="Times New Roman" w:hAnsi="Times New Roman" w:cs="Times New Roman"/>
                <w:bCs/>
                <w:iCs/>
                <w:noProof/>
                <w:sz w:val="25"/>
                <w:szCs w:val="25"/>
              </w:rPr>
            </w:pPr>
            <w:r w:rsidRPr="000C72D2">
              <w:rPr>
                <w:rFonts w:ascii="Times New Roman" w:eastAsia="Times New Roman" w:hAnsi="Times New Roman" w:cs="Times New Roman"/>
                <w:bCs/>
                <w:iCs/>
                <w:noProof/>
                <w:sz w:val="25"/>
                <w:szCs w:val="25"/>
              </w:rPr>
              <w:t>Danh mục doanh nghiệp nhà nước, doanh nghiệp có vốn nhà nước thuộc UBND thành phố Hà Nội thực hiện các hình thức cơ cấu lại vốn nhà nước tại doanh nghiệp, trong đó xác định cụ thể tỷ lệ cổ phần, phần vốn nhà nước nắm giữ, thời gian hoàn thành đối với từng doanh nghiệp.</w:t>
            </w:r>
          </w:p>
          <w:p w14:paraId="4E6C3046" w14:textId="06BC19C8" w:rsidR="00D130E1" w:rsidRPr="000C72D2" w:rsidRDefault="00D130E1" w:rsidP="000C72D2">
            <w:pPr>
              <w:jc w:val="both"/>
              <w:rPr>
                <w:rStyle w:val="Strong"/>
                <w:rFonts w:ascii="Times New Roman" w:hAnsi="Times New Roman" w:cs="Times New Roman"/>
                <w:b w:val="0"/>
                <w:bCs w:val="0"/>
                <w:sz w:val="25"/>
                <w:szCs w:val="25"/>
              </w:rPr>
            </w:pPr>
            <w:r w:rsidRPr="000C72D2">
              <w:rPr>
                <w:rFonts w:ascii="Times New Roman" w:eastAsia="Times New Roman" w:hAnsi="Times New Roman" w:cs="Times New Roman"/>
                <w:bCs/>
                <w:iCs/>
                <w:noProof/>
                <w:sz w:val="25"/>
                <w:szCs w:val="25"/>
              </w:rPr>
              <w:t>Các nội dung khác (nếu có) phù hợp với tình hình thực tế của Thành phố, chủ trương của cấp trên</w:t>
            </w:r>
          </w:p>
          <w:p w14:paraId="2FA087F8" w14:textId="6F4B41A6" w:rsidR="00BD17E5" w:rsidRPr="000C72D2" w:rsidRDefault="00BD17E5" w:rsidP="000C72D2">
            <w:pPr>
              <w:jc w:val="both"/>
              <w:rPr>
                <w:rStyle w:val="Strong"/>
                <w:rFonts w:ascii="Times New Roman" w:hAnsi="Times New Roman" w:cs="Times New Roman"/>
                <w:b w:val="0"/>
                <w:bCs w:val="0"/>
                <w:sz w:val="25"/>
                <w:szCs w:val="25"/>
              </w:rPr>
            </w:pPr>
          </w:p>
        </w:tc>
        <w:tc>
          <w:tcPr>
            <w:tcW w:w="6373" w:type="dxa"/>
            <w:vAlign w:val="center"/>
          </w:tcPr>
          <w:p w14:paraId="3C8CFEF9" w14:textId="5A92E6F2" w:rsidR="00E51786" w:rsidRPr="000C72D2" w:rsidRDefault="00E51786" w:rsidP="00D130E1">
            <w:pPr>
              <w:jc w:val="both"/>
              <w:rPr>
                <w:rStyle w:val="Strong"/>
                <w:rFonts w:ascii="Times New Roman" w:hAnsi="Times New Roman" w:cs="Times New Roman"/>
                <w:sz w:val="25"/>
                <w:szCs w:val="25"/>
              </w:rPr>
            </w:pPr>
            <w:r w:rsidRPr="000C72D2">
              <w:rPr>
                <w:rStyle w:val="Strong"/>
                <w:rFonts w:ascii="Times New Roman" w:hAnsi="Times New Roman" w:cs="Times New Roman"/>
                <w:b w:val="0"/>
                <w:bCs w:val="0"/>
                <w:sz w:val="25"/>
                <w:szCs w:val="25"/>
              </w:rPr>
              <w:t>Việc xây dựng danh mục doanh nghiệp cụ thể nhằm triển khai thực chất chủ trương cơ cấu lại doanh nghiệp nhà nước</w:t>
            </w:r>
            <w:r w:rsidR="003C0F7D" w:rsidRPr="000C72D2">
              <w:rPr>
                <w:rStyle w:val="Strong"/>
                <w:rFonts w:ascii="Times New Roman" w:hAnsi="Times New Roman" w:cs="Times New Roman"/>
                <w:b w:val="0"/>
                <w:bCs w:val="0"/>
                <w:sz w:val="25"/>
                <w:szCs w:val="25"/>
              </w:rPr>
              <w:t>, t</w:t>
            </w:r>
            <w:r w:rsidR="003C0F7D" w:rsidRPr="000C72D2">
              <w:rPr>
                <w:rFonts w:ascii="Times New Roman" w:hAnsi="Times New Roman" w:cs="Times New Roman"/>
                <w:sz w:val="25"/>
                <w:szCs w:val="25"/>
              </w:rPr>
              <w:t>rong đó</w:t>
            </w:r>
            <w:r w:rsidR="003A3755" w:rsidRPr="000C72D2">
              <w:rPr>
                <w:rFonts w:ascii="Times New Roman" w:hAnsi="Times New Roman" w:cs="Times New Roman"/>
                <w:sz w:val="25"/>
                <w:szCs w:val="25"/>
              </w:rPr>
              <w:t xml:space="preserve"> nếu theo quy định Luật số 68/2025/QH15 và các văn bản hướng dẫn, một số doanh nghiệp có kế hoạch xác định tỷ lệ vốn nhà nước tại dự thảo Nghị quyết phải báo cáo Thủ tướng Chính phủ xem xét quyết định</w:t>
            </w:r>
            <w:r w:rsidR="0015383D">
              <w:rPr>
                <w:rFonts w:ascii="Times New Roman" w:hAnsi="Times New Roman" w:cs="Times New Roman"/>
                <w:sz w:val="25"/>
                <w:szCs w:val="25"/>
              </w:rPr>
              <w:t xml:space="preserve">, tuy nhiên </w:t>
            </w:r>
            <w:r w:rsidR="003A3755" w:rsidRPr="000C72D2">
              <w:rPr>
                <w:rFonts w:ascii="Times New Roman" w:hAnsi="Times New Roman" w:cs="Times New Roman"/>
                <w:sz w:val="25"/>
                <w:szCs w:val="25"/>
              </w:rPr>
              <w:t>theo dự thảo Nghị quyết này</w:t>
            </w:r>
            <w:r w:rsidR="0015383D">
              <w:rPr>
                <w:rFonts w:ascii="Times New Roman" w:hAnsi="Times New Roman" w:cs="Times New Roman"/>
                <w:sz w:val="25"/>
                <w:szCs w:val="25"/>
              </w:rPr>
              <w:t xml:space="preserve">: </w:t>
            </w:r>
            <w:r w:rsidR="003A3755" w:rsidRPr="000C72D2">
              <w:rPr>
                <w:rFonts w:ascii="Times New Roman" w:hAnsi="Times New Roman" w:cs="Times New Roman"/>
                <w:sz w:val="25"/>
                <w:szCs w:val="25"/>
              </w:rPr>
              <w:t>Hội đồng nhân dân Thành phố quyết định</w:t>
            </w:r>
            <w:r w:rsidR="00D130E1" w:rsidRPr="000C72D2">
              <w:rPr>
                <w:rFonts w:ascii="Times New Roman" w:hAnsi="Times New Roman" w:cs="Times New Roman"/>
                <w:sz w:val="25"/>
                <w:szCs w:val="25"/>
              </w:rPr>
              <w:t xml:space="preserve"> </w:t>
            </w:r>
            <w:r w:rsidR="00D130E1" w:rsidRPr="000C72D2">
              <w:rPr>
                <w:rStyle w:val="Strong"/>
                <w:rFonts w:ascii="Times New Roman" w:hAnsi="Times New Roman" w:cs="Times New Roman"/>
                <w:b w:val="0"/>
                <w:bCs w:val="0"/>
                <w:sz w:val="25"/>
                <w:szCs w:val="25"/>
              </w:rPr>
              <w:t xml:space="preserve">giao cho UBND Thành phố quyết định </w:t>
            </w:r>
            <w:r w:rsidR="0015383D">
              <w:rPr>
                <w:rStyle w:val="Strong"/>
                <w:rFonts w:ascii="Times New Roman" w:hAnsi="Times New Roman" w:cs="Times New Roman"/>
                <w:b w:val="0"/>
                <w:bCs w:val="0"/>
                <w:sz w:val="25"/>
                <w:szCs w:val="25"/>
              </w:rPr>
              <w:t xml:space="preserve">kế hoạch cơ cấu lại doanh nghiệp </w:t>
            </w:r>
            <w:r w:rsidR="00D130E1" w:rsidRPr="000C72D2">
              <w:rPr>
                <w:rStyle w:val="Strong"/>
                <w:rFonts w:ascii="Times New Roman" w:hAnsi="Times New Roman" w:cs="Times New Roman"/>
                <w:b w:val="0"/>
                <w:bCs w:val="0"/>
                <w:sz w:val="25"/>
                <w:szCs w:val="25"/>
              </w:rPr>
              <w:t>sau khi có ý kiến của Thành ủy</w:t>
            </w:r>
            <w:r w:rsidR="003A3755" w:rsidRPr="000C72D2">
              <w:rPr>
                <w:rStyle w:val="Strong"/>
                <w:rFonts w:ascii="Times New Roman" w:hAnsi="Times New Roman" w:cs="Times New Roman"/>
                <w:b w:val="0"/>
                <w:bCs w:val="0"/>
                <w:sz w:val="25"/>
                <w:szCs w:val="25"/>
              </w:rPr>
              <w:t xml:space="preserve"> </w:t>
            </w:r>
            <w:r w:rsidR="00D130E1" w:rsidRPr="000C72D2">
              <w:rPr>
                <w:rStyle w:val="Strong"/>
                <w:rFonts w:ascii="Times New Roman" w:hAnsi="Times New Roman" w:cs="Times New Roman"/>
                <w:b w:val="0"/>
                <w:bCs w:val="0"/>
                <w:sz w:val="25"/>
                <w:szCs w:val="25"/>
              </w:rPr>
              <w:t>đối v</w:t>
            </w:r>
            <w:r w:rsidR="00D130E1" w:rsidRPr="000C72D2">
              <w:rPr>
                <w:rFonts w:ascii="Times New Roman" w:hAnsi="Times New Roman" w:cs="Times New Roman"/>
                <w:sz w:val="25"/>
                <w:szCs w:val="25"/>
              </w:rPr>
              <w:t xml:space="preserve">ới </w:t>
            </w:r>
            <w:r w:rsidR="00D130E1" w:rsidRPr="000C72D2">
              <w:rPr>
                <w:rStyle w:val="Strong"/>
                <w:rFonts w:ascii="Times New Roman" w:hAnsi="Times New Roman" w:cs="Times New Roman"/>
                <w:b w:val="0"/>
                <w:bCs w:val="0"/>
                <w:sz w:val="25"/>
                <w:szCs w:val="25"/>
              </w:rPr>
              <w:t>Phương án sắp xếp lại doanh nghiệp có vốn nhà nước thuộc UBND thành phố Hà Nội</w:t>
            </w:r>
            <w:r w:rsidR="00D130E1" w:rsidRPr="000C72D2">
              <w:rPr>
                <w:rFonts w:ascii="Times New Roman" w:hAnsi="Times New Roman" w:cs="Times New Roman"/>
                <w:sz w:val="25"/>
                <w:szCs w:val="25"/>
              </w:rPr>
              <w:t xml:space="preserve"> </w:t>
            </w:r>
            <w:r w:rsidR="008B2A83" w:rsidRPr="000C72D2">
              <w:rPr>
                <w:rFonts w:ascii="Times New Roman" w:hAnsi="Times New Roman" w:cs="Times New Roman"/>
                <w:sz w:val="25"/>
                <w:szCs w:val="25"/>
              </w:rPr>
              <w:t>(mà không phải báo cáo Thủ tướng Chính phủ quyết định)</w:t>
            </w:r>
            <w:r w:rsidR="000C72D2" w:rsidRPr="000C72D2">
              <w:rPr>
                <w:rFonts w:ascii="Times New Roman" w:hAnsi="Times New Roman" w:cs="Times New Roman"/>
                <w:sz w:val="25"/>
                <w:szCs w:val="25"/>
              </w:rPr>
              <w:t>.</w:t>
            </w:r>
            <w:r w:rsidR="008B2A83" w:rsidRPr="000C72D2">
              <w:rPr>
                <w:rFonts w:ascii="Times New Roman" w:hAnsi="Times New Roman" w:cs="Times New Roman"/>
                <w:sz w:val="25"/>
                <w:szCs w:val="25"/>
              </w:rPr>
              <w:t xml:space="preserve"> </w:t>
            </w:r>
            <w:r w:rsidRPr="000C72D2">
              <w:rPr>
                <w:rFonts w:ascii="Times New Roman" w:hAnsi="Times New Roman" w:cs="Times New Roman"/>
                <w:sz w:val="25"/>
                <w:szCs w:val="25"/>
              </w:rPr>
              <w:t xml:space="preserve">Tại </w:t>
            </w:r>
            <w:r w:rsidRPr="000C72D2">
              <w:rPr>
                <w:rStyle w:val="whitespace-normal"/>
                <w:rFonts w:ascii="Times New Roman" w:hAnsi="Times New Roman" w:cs="Times New Roman"/>
                <w:sz w:val="25"/>
                <w:szCs w:val="25"/>
              </w:rPr>
              <w:t>Nghị quyết số 02-NQ/TW</w:t>
            </w:r>
            <w:r w:rsidRPr="000C72D2">
              <w:rPr>
                <w:rFonts w:ascii="Times New Roman" w:hAnsi="Times New Roman" w:cs="Times New Roman"/>
                <w:sz w:val="25"/>
                <w:szCs w:val="25"/>
              </w:rPr>
              <w:t xml:space="preserve"> xác định phát triển Hà Nội trở thành đô thị thông minh, xanh, hiện đại, trung tâm đổi mới sáng tạo và chuyển đổi số của cả nước. Đồng thời,</w:t>
            </w:r>
            <w:r w:rsidR="004E6B65" w:rsidRPr="000C72D2">
              <w:rPr>
                <w:rFonts w:ascii="Times New Roman" w:hAnsi="Times New Roman" w:cs="Times New Roman"/>
                <w:sz w:val="25"/>
                <w:szCs w:val="25"/>
              </w:rPr>
              <w:t xml:space="preserve"> </w:t>
            </w:r>
            <w:r w:rsidRPr="000C72D2">
              <w:rPr>
                <w:rFonts w:ascii="Times New Roman" w:hAnsi="Times New Roman" w:cs="Times New Roman"/>
                <w:sz w:val="25"/>
                <w:szCs w:val="25"/>
              </w:rPr>
              <w:t xml:space="preserve">tại </w:t>
            </w:r>
            <w:r w:rsidR="004E6B65" w:rsidRPr="000C72D2">
              <w:rPr>
                <w:rFonts w:ascii="Times New Roman" w:hAnsi="Times New Roman" w:cs="Times New Roman"/>
                <w:sz w:val="25"/>
                <w:szCs w:val="25"/>
              </w:rPr>
              <w:t>C</w:t>
            </w:r>
            <w:r w:rsidRPr="000C72D2">
              <w:rPr>
                <w:rStyle w:val="whitespace-normal"/>
                <w:rFonts w:ascii="Times New Roman" w:hAnsi="Times New Roman" w:cs="Times New Roman"/>
                <w:sz w:val="25"/>
                <w:szCs w:val="25"/>
              </w:rPr>
              <w:t>hương trình hành động số 09-CTr/</w:t>
            </w:r>
            <w:r w:rsidRPr="000C72D2">
              <w:rPr>
                <w:rFonts w:ascii="Times New Roman" w:hAnsi="Times New Roman" w:cs="Times New Roman"/>
                <w:sz w:val="25"/>
                <w:szCs w:val="25"/>
              </w:rPr>
              <w:t>TU</w:t>
            </w:r>
            <w:r w:rsidR="00C54262" w:rsidRPr="000C72D2">
              <w:rPr>
                <w:rFonts w:ascii="Times New Roman" w:hAnsi="Times New Roman" w:cs="Times New Roman"/>
                <w:sz w:val="25"/>
                <w:szCs w:val="25"/>
              </w:rPr>
              <w:t xml:space="preserve"> của Thành ủy Hà Nội</w:t>
            </w:r>
            <w:r w:rsidR="00FD7513" w:rsidRPr="000C72D2">
              <w:rPr>
                <w:rFonts w:ascii="Times New Roman" w:hAnsi="Times New Roman" w:cs="Times New Roman"/>
                <w:sz w:val="25"/>
                <w:szCs w:val="25"/>
              </w:rPr>
              <w:t xml:space="preserve"> </w:t>
            </w:r>
            <w:r w:rsidRPr="000C72D2">
              <w:rPr>
                <w:rFonts w:ascii="Times New Roman" w:hAnsi="Times New Roman" w:cs="Times New Roman"/>
                <w:sz w:val="25"/>
                <w:szCs w:val="25"/>
              </w:rPr>
              <w:t>xác định nhiệm vụ cơ cấu lại doanh nghiệp nhà nước theo hướng tập trung vào lĩnh vực hạ tầng chiến lược, dịch vụ công ích và lĩnh vực đổi mới sáng tạo, công nghệ cao, việc sáp nhập, thoái vốn, chuyển giao quyền đại diện chủ sở hữu đối với một số doanh nghiệp nhằm tinh gọn đầu mối, nâng cao hiệu quả quản trị, giảm chồng chéo chức năng và tập trung nguồn lực cho các lĩnh vực trọng tâm, chiến lược của Thành phố.</w:t>
            </w:r>
            <w:r w:rsidR="003D4B5F">
              <w:rPr>
                <w:rFonts w:ascii="Times New Roman" w:hAnsi="Times New Roman" w:cs="Times New Roman"/>
                <w:sz w:val="25"/>
                <w:szCs w:val="25"/>
              </w:rPr>
              <w:t xml:space="preserve"> </w:t>
            </w:r>
          </w:p>
        </w:tc>
      </w:tr>
      <w:tr w:rsidR="00E64833" w:rsidRPr="000C72D2" w14:paraId="3FAB3890" w14:textId="77777777" w:rsidTr="000C72D2">
        <w:tc>
          <w:tcPr>
            <w:tcW w:w="746" w:type="dxa"/>
            <w:vAlign w:val="center"/>
          </w:tcPr>
          <w:p w14:paraId="296031AC" w14:textId="648315E2" w:rsidR="00F910DA" w:rsidRPr="000C72D2" w:rsidRDefault="00F910DA"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6A5E50A0" w14:textId="2727E7AF" w:rsidR="00F910DA" w:rsidRPr="000C72D2" w:rsidRDefault="0080490F"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 Điều 11 </w:t>
            </w:r>
            <w:r w:rsidR="00DF3BAF" w:rsidRPr="000C72D2">
              <w:rPr>
                <w:rStyle w:val="whitespace-normal"/>
                <w:rFonts w:ascii="Times New Roman" w:hAnsi="Times New Roman" w:cs="Times New Roman"/>
                <w:sz w:val="25"/>
                <w:szCs w:val="25"/>
              </w:rPr>
              <w:t>Luật số 68/2025/QH15</w:t>
            </w:r>
            <w:r w:rsidRPr="000C72D2">
              <w:rPr>
                <w:rFonts w:ascii="Times New Roman" w:hAnsi="Times New Roman" w:cs="Times New Roman"/>
                <w:sz w:val="25"/>
                <w:szCs w:val="25"/>
              </w:rPr>
              <w:t xml:space="preserve">. </w:t>
            </w:r>
            <w:r w:rsidRPr="000C72D2">
              <w:rPr>
                <w:rFonts w:ascii="Times New Roman" w:hAnsi="Times New Roman" w:cs="Times New Roman"/>
                <w:sz w:val="25"/>
                <w:szCs w:val="25"/>
              </w:rPr>
              <w:br/>
              <w:t xml:space="preserve">- Điều 5 </w:t>
            </w:r>
            <w:r w:rsidRPr="000C72D2">
              <w:rPr>
                <w:rStyle w:val="whitespace-normal"/>
                <w:rFonts w:ascii="Times New Roman" w:hAnsi="Times New Roman" w:cs="Times New Roman"/>
                <w:sz w:val="25"/>
                <w:szCs w:val="25"/>
              </w:rPr>
              <w:t>Nghị định số 366/2025/NĐ-CP</w:t>
            </w:r>
            <w:r w:rsidR="00F910DA" w:rsidRPr="000C72D2">
              <w:rPr>
                <w:rFonts w:ascii="Times New Roman" w:hAnsi="Times New Roman" w:cs="Times New Roman"/>
                <w:sz w:val="25"/>
                <w:szCs w:val="25"/>
              </w:rPr>
              <w:t>.</w:t>
            </w:r>
          </w:p>
        </w:tc>
        <w:tc>
          <w:tcPr>
            <w:tcW w:w="4678" w:type="dxa"/>
            <w:vAlign w:val="center"/>
          </w:tcPr>
          <w:p w14:paraId="3F47EC5B" w14:textId="078C119F" w:rsidR="00F910DA" w:rsidRPr="000C72D2" w:rsidRDefault="00F910DA" w:rsidP="00E64833">
            <w:pPr>
              <w:jc w:val="both"/>
              <w:rPr>
                <w:rFonts w:ascii="Times New Roman" w:hAnsi="Times New Roman" w:cs="Times New Roman"/>
                <w:sz w:val="25"/>
                <w:szCs w:val="25"/>
                <w:lang w:val="vi-VN"/>
              </w:rPr>
            </w:pPr>
            <w:r w:rsidRPr="000C72D2">
              <w:rPr>
                <w:rStyle w:val="Strong"/>
                <w:rFonts w:ascii="Times New Roman" w:hAnsi="Times New Roman" w:cs="Times New Roman"/>
                <w:sz w:val="25"/>
                <w:szCs w:val="25"/>
              </w:rPr>
              <w:t>Điều 6. Nguồn vốn, tài sản để đầu tư vốn nhà nước vào doanh nghiệp</w:t>
            </w:r>
            <w:r w:rsidRPr="000C72D2">
              <w:rPr>
                <w:rFonts w:ascii="Times New Roman" w:hAnsi="Times New Roman" w:cs="Times New Roman"/>
                <w:sz w:val="25"/>
                <w:szCs w:val="25"/>
              </w:rPr>
              <w:t xml:space="preserve"> quy định cụ thể ngân sách địa phương, tài sản công, quỹ đầu tư phát triển, lợi nhuận sau thuế để lại, vốn ODA không hoàn lại, vốn đầu tư công và các nguồn hợp pháp khác.</w:t>
            </w:r>
          </w:p>
        </w:tc>
        <w:tc>
          <w:tcPr>
            <w:tcW w:w="6373" w:type="dxa"/>
            <w:vAlign w:val="center"/>
          </w:tcPr>
          <w:p w14:paraId="45433DEB" w14:textId="0618199D" w:rsidR="00F910DA" w:rsidRPr="000C72D2" w:rsidRDefault="00C54262"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Nội dung này cơ bản bám sát nội dung quy định của Luật số 68/2025/QH15 </w:t>
            </w:r>
            <w:r w:rsidR="001328AE" w:rsidRPr="000C72D2">
              <w:rPr>
                <w:rFonts w:ascii="Times New Roman" w:hAnsi="Times New Roman" w:cs="Times New Roman"/>
                <w:sz w:val="25"/>
                <w:szCs w:val="25"/>
              </w:rPr>
              <w:t>nhằm tạo cơ chế huy động, sử dụng linh hoạt các nguồn lực</w:t>
            </w:r>
            <w:r w:rsidRPr="000C72D2">
              <w:rPr>
                <w:rFonts w:ascii="Times New Roman" w:hAnsi="Times New Roman" w:cs="Times New Roman"/>
                <w:sz w:val="25"/>
                <w:szCs w:val="25"/>
              </w:rPr>
              <w:t xml:space="preserve"> đại phương</w:t>
            </w:r>
            <w:r w:rsidR="001328AE" w:rsidRPr="000C72D2">
              <w:rPr>
                <w:rFonts w:ascii="Times New Roman" w:hAnsi="Times New Roman" w:cs="Times New Roman"/>
                <w:sz w:val="25"/>
                <w:szCs w:val="25"/>
              </w:rPr>
              <w:t xml:space="preserve"> phục vụ đầu tư phát triển doanh nghiệp nhà nước trong các lĩnh vực trọng điểm, chiến lược của Thủ đô. Trên cơ sở đó, dự thảo Nghị quyết quy định cụ thể các nguồn vốn đầu tư nhằm tạo điều kiện để Thành phố chủ động sử dụng ngân sách địa phương, tài sản công, quỹ đầu tư phát triển và các nguồn lực hợp pháp khác phục vụ đầu tư các dự án trọng điểm về hạ tầng, giao thông công cộng, môi trường, chuyển đổi số và đổi mới sáng tạo.</w:t>
            </w:r>
          </w:p>
        </w:tc>
      </w:tr>
      <w:tr w:rsidR="00E64833" w:rsidRPr="000C72D2" w14:paraId="1B8AC10F" w14:textId="77777777" w:rsidTr="000C72D2">
        <w:tc>
          <w:tcPr>
            <w:tcW w:w="746" w:type="dxa"/>
            <w:vAlign w:val="center"/>
          </w:tcPr>
          <w:p w14:paraId="26A5BE23" w14:textId="13EB7318" w:rsidR="00F910DA" w:rsidRPr="000C72D2" w:rsidRDefault="00F910DA"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5B690BC6" w14:textId="5192BF18" w:rsidR="001030E1" w:rsidRPr="000C72D2" w:rsidRDefault="001030E1" w:rsidP="00E64833">
            <w:pPr>
              <w:jc w:val="both"/>
              <w:rPr>
                <w:rFonts w:ascii="Times New Roman" w:hAnsi="Times New Roman" w:cs="Times New Roman"/>
                <w:sz w:val="25"/>
                <w:szCs w:val="25"/>
              </w:rPr>
            </w:pPr>
            <w:r w:rsidRPr="000C72D2">
              <w:rPr>
                <w:rFonts w:ascii="Times New Roman" w:hAnsi="Times New Roman" w:cs="Times New Roman"/>
                <w:sz w:val="25"/>
                <w:szCs w:val="25"/>
              </w:rPr>
              <w:t xml:space="preserve">- </w:t>
            </w:r>
            <w:r w:rsidR="00F910DA" w:rsidRPr="000C72D2">
              <w:rPr>
                <w:rFonts w:ascii="Times New Roman" w:hAnsi="Times New Roman" w:cs="Times New Roman"/>
                <w:sz w:val="25"/>
                <w:szCs w:val="25"/>
              </w:rPr>
              <w:t xml:space="preserve">Điều 12 </w:t>
            </w:r>
            <w:r w:rsidR="00DF3BAF" w:rsidRPr="000C72D2">
              <w:rPr>
                <w:rFonts w:ascii="Times New Roman" w:hAnsi="Times New Roman" w:cs="Times New Roman"/>
                <w:sz w:val="25"/>
                <w:szCs w:val="25"/>
              </w:rPr>
              <w:t>Luật số 68/2025/QH15</w:t>
            </w:r>
            <w:r w:rsidR="00F910DA" w:rsidRPr="000C72D2">
              <w:rPr>
                <w:rFonts w:ascii="Times New Roman" w:hAnsi="Times New Roman" w:cs="Times New Roman"/>
                <w:sz w:val="25"/>
                <w:szCs w:val="25"/>
              </w:rPr>
              <w:t>;</w:t>
            </w:r>
          </w:p>
          <w:p w14:paraId="3F7C05AE" w14:textId="5363A663" w:rsidR="00F910DA" w:rsidRPr="000C72D2" w:rsidRDefault="001030E1"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 </w:t>
            </w:r>
            <w:r w:rsidR="00F910DA" w:rsidRPr="000C72D2">
              <w:rPr>
                <w:rFonts w:ascii="Times New Roman" w:hAnsi="Times New Roman" w:cs="Times New Roman"/>
                <w:sz w:val="25"/>
                <w:szCs w:val="25"/>
              </w:rPr>
              <w:t>Điều 6 Nghị định số 366/2025/NĐ-CP.</w:t>
            </w:r>
          </w:p>
        </w:tc>
        <w:tc>
          <w:tcPr>
            <w:tcW w:w="4678" w:type="dxa"/>
            <w:vAlign w:val="center"/>
          </w:tcPr>
          <w:p w14:paraId="13F2AA32" w14:textId="663DF87E" w:rsidR="00F910DA" w:rsidRPr="000C72D2" w:rsidRDefault="00F910DA" w:rsidP="00E64833">
            <w:pPr>
              <w:jc w:val="both"/>
              <w:rPr>
                <w:rFonts w:ascii="Times New Roman" w:hAnsi="Times New Roman" w:cs="Times New Roman"/>
                <w:sz w:val="25"/>
                <w:szCs w:val="25"/>
                <w:lang w:val="vi-VN"/>
              </w:rPr>
            </w:pPr>
            <w:r w:rsidRPr="000C72D2">
              <w:rPr>
                <w:rStyle w:val="Strong"/>
                <w:rFonts w:ascii="Times New Roman" w:hAnsi="Times New Roman" w:cs="Times New Roman"/>
                <w:sz w:val="25"/>
                <w:szCs w:val="25"/>
              </w:rPr>
              <w:t>Điều 7. Phạm vi đầu tư vốn nhà nước vào doanh nghiệp</w:t>
            </w:r>
            <w:r w:rsidRPr="000C72D2">
              <w:rPr>
                <w:rFonts w:ascii="Times New Roman" w:hAnsi="Times New Roman" w:cs="Times New Roman"/>
                <w:sz w:val="25"/>
                <w:szCs w:val="25"/>
              </w:rPr>
              <w:t xml:space="preserve"> quy định việc đầu tư vốn nhà nước thực hiện theo Luật, Nghị định của Chính phủ và </w:t>
            </w:r>
            <w:r w:rsidR="00C41599">
              <w:rPr>
                <w:rFonts w:ascii="Times New Roman" w:hAnsi="Times New Roman" w:cs="Times New Roman"/>
                <w:sz w:val="25"/>
                <w:szCs w:val="25"/>
              </w:rPr>
              <w:t xml:space="preserve">Điều 5 </w:t>
            </w:r>
            <w:r w:rsidRPr="000C72D2">
              <w:rPr>
                <w:rFonts w:ascii="Times New Roman" w:hAnsi="Times New Roman" w:cs="Times New Roman"/>
                <w:sz w:val="25"/>
                <w:szCs w:val="25"/>
              </w:rPr>
              <w:t xml:space="preserve">Nghị quyết </w:t>
            </w:r>
            <w:r w:rsidR="00C41599">
              <w:rPr>
                <w:rFonts w:ascii="Times New Roman" w:hAnsi="Times New Roman" w:cs="Times New Roman"/>
                <w:sz w:val="25"/>
                <w:szCs w:val="25"/>
              </w:rPr>
              <w:t>này</w:t>
            </w:r>
            <w:r w:rsidRPr="000C72D2">
              <w:rPr>
                <w:rFonts w:ascii="Times New Roman" w:hAnsi="Times New Roman" w:cs="Times New Roman"/>
                <w:sz w:val="25"/>
                <w:szCs w:val="25"/>
              </w:rPr>
              <w:t>.</w:t>
            </w:r>
          </w:p>
        </w:tc>
        <w:tc>
          <w:tcPr>
            <w:tcW w:w="6373" w:type="dxa"/>
            <w:vAlign w:val="center"/>
          </w:tcPr>
          <w:p w14:paraId="5F780CAA" w14:textId="03F65DCE" w:rsidR="00F910DA" w:rsidRPr="000C72D2" w:rsidRDefault="001064F9" w:rsidP="00E64833">
            <w:pPr>
              <w:jc w:val="both"/>
              <w:rPr>
                <w:rFonts w:ascii="Times New Roman" w:hAnsi="Times New Roman" w:cs="Times New Roman"/>
                <w:sz w:val="25"/>
                <w:szCs w:val="25"/>
                <w:lang w:val="vi-VN"/>
              </w:rPr>
            </w:pPr>
            <w:r w:rsidRPr="000C72D2">
              <w:rPr>
                <w:rStyle w:val="Strong"/>
                <w:rFonts w:ascii="Times New Roman" w:hAnsi="Times New Roman" w:cs="Times New Roman"/>
                <w:b w:val="0"/>
                <w:bCs w:val="0"/>
                <w:sz w:val="25"/>
                <w:szCs w:val="25"/>
              </w:rPr>
              <w:t>Nội dung này nhằm bảo đảm việc đầu tư vốn nhà nước của Thành phố vừa tuân thủ thống nhất quy định pháp luật của Trung ương, vừa phát huy tính chủ động, linh hoạt của cơ chế đặc thù dành cho Thủ đô</w:t>
            </w:r>
            <w:r w:rsidR="00DF3BAF" w:rsidRPr="000C72D2">
              <w:rPr>
                <w:rStyle w:val="Strong"/>
                <w:rFonts w:ascii="Times New Roman" w:hAnsi="Times New Roman" w:cs="Times New Roman"/>
                <w:b w:val="0"/>
                <w:bCs w:val="0"/>
                <w:sz w:val="25"/>
                <w:szCs w:val="25"/>
              </w:rPr>
              <w:t xml:space="preserve"> theo quy định Luật Thủ đô, </w:t>
            </w:r>
            <w:r w:rsidRPr="000C72D2">
              <w:rPr>
                <w:rStyle w:val="whitespace-normal"/>
                <w:rFonts w:ascii="Times New Roman" w:hAnsi="Times New Roman" w:cs="Times New Roman"/>
                <w:sz w:val="25"/>
                <w:szCs w:val="25"/>
              </w:rPr>
              <w:t>Nghị quyết số 02-NQ/TW</w:t>
            </w:r>
            <w:r w:rsidRPr="000C72D2">
              <w:rPr>
                <w:rFonts w:ascii="Times New Roman" w:hAnsi="Times New Roman" w:cs="Times New Roman"/>
                <w:sz w:val="25"/>
                <w:szCs w:val="25"/>
              </w:rPr>
              <w:t xml:space="preserve"> yêu cầu đẩy mạnh phân cấp, phân quyền cho Hà Nội đi đôi với cơ chế kiểm soát quyền lực và nâng cao trách nhiệm giải trình</w:t>
            </w:r>
            <w:r w:rsidR="00DF3BAF" w:rsidRPr="000C72D2">
              <w:rPr>
                <w:rFonts w:ascii="Times New Roman" w:hAnsi="Times New Roman" w:cs="Times New Roman"/>
                <w:sz w:val="25"/>
                <w:szCs w:val="25"/>
              </w:rPr>
              <w:t xml:space="preserve"> </w:t>
            </w:r>
            <w:r w:rsidRPr="000C72D2">
              <w:rPr>
                <w:rFonts w:ascii="Times New Roman" w:hAnsi="Times New Roman" w:cs="Times New Roman"/>
                <w:sz w:val="25"/>
                <w:szCs w:val="25"/>
              </w:rPr>
              <w:t>tạo điều kiện để Thành phố chủ động đầu tư vào các lĩnh vực mới, có tính chiến lược và dẫn dắt phát triển Thủ đô trong từng thời kỳ.</w:t>
            </w:r>
          </w:p>
        </w:tc>
      </w:tr>
      <w:tr w:rsidR="00E64833" w:rsidRPr="000C72D2" w14:paraId="4DC5C6D9" w14:textId="77777777" w:rsidTr="000C72D2">
        <w:tc>
          <w:tcPr>
            <w:tcW w:w="746" w:type="dxa"/>
            <w:vAlign w:val="center"/>
          </w:tcPr>
          <w:p w14:paraId="351D141F" w14:textId="4AAB1A16" w:rsidR="00F910DA" w:rsidRPr="000C72D2" w:rsidRDefault="00F910DA"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5F67B64B" w14:textId="45AA1BF7" w:rsidR="005866B5" w:rsidRPr="000C72D2" w:rsidRDefault="005866B5" w:rsidP="00E64833">
            <w:pPr>
              <w:jc w:val="both"/>
              <w:rPr>
                <w:rFonts w:ascii="Times New Roman" w:hAnsi="Times New Roman" w:cs="Times New Roman"/>
                <w:sz w:val="25"/>
                <w:szCs w:val="25"/>
              </w:rPr>
            </w:pPr>
            <w:r w:rsidRPr="000C72D2">
              <w:rPr>
                <w:rFonts w:ascii="Times New Roman" w:hAnsi="Times New Roman" w:cs="Times New Roman"/>
                <w:sz w:val="25"/>
                <w:szCs w:val="25"/>
              </w:rPr>
              <w:t xml:space="preserve">- </w:t>
            </w:r>
            <w:r w:rsidR="00F910DA" w:rsidRPr="000C72D2">
              <w:rPr>
                <w:rFonts w:ascii="Times New Roman" w:hAnsi="Times New Roman" w:cs="Times New Roman"/>
                <w:sz w:val="25"/>
                <w:szCs w:val="25"/>
              </w:rPr>
              <w:t xml:space="preserve">Điều </w:t>
            </w:r>
            <w:r w:rsidRPr="000C72D2">
              <w:rPr>
                <w:rFonts w:ascii="Times New Roman" w:hAnsi="Times New Roman" w:cs="Times New Roman"/>
                <w:sz w:val="25"/>
                <w:szCs w:val="25"/>
              </w:rPr>
              <w:t xml:space="preserve">12, Điều </w:t>
            </w:r>
            <w:r w:rsidR="00F910DA" w:rsidRPr="000C72D2">
              <w:rPr>
                <w:rFonts w:ascii="Times New Roman" w:hAnsi="Times New Roman" w:cs="Times New Roman"/>
                <w:sz w:val="25"/>
                <w:szCs w:val="25"/>
              </w:rPr>
              <w:t>13, Điều 14, Điều 15</w:t>
            </w:r>
            <w:r w:rsidRPr="000C72D2">
              <w:rPr>
                <w:rFonts w:ascii="Times New Roman" w:hAnsi="Times New Roman" w:cs="Times New Roman"/>
                <w:sz w:val="25"/>
                <w:szCs w:val="25"/>
              </w:rPr>
              <w:t>, Điều 16</w:t>
            </w:r>
            <w:r w:rsidR="00F910DA" w:rsidRPr="000C72D2">
              <w:rPr>
                <w:rFonts w:ascii="Times New Roman" w:hAnsi="Times New Roman" w:cs="Times New Roman"/>
                <w:sz w:val="25"/>
                <w:szCs w:val="25"/>
              </w:rPr>
              <w:t xml:space="preserve"> </w:t>
            </w:r>
            <w:r w:rsidR="00DF3BAF" w:rsidRPr="000C72D2">
              <w:rPr>
                <w:rFonts w:ascii="Times New Roman" w:hAnsi="Times New Roman" w:cs="Times New Roman"/>
                <w:sz w:val="25"/>
                <w:szCs w:val="25"/>
              </w:rPr>
              <w:t>Luật số 68/2025/QH15</w:t>
            </w:r>
            <w:r w:rsidRPr="000C72D2">
              <w:rPr>
                <w:rFonts w:ascii="Times New Roman" w:hAnsi="Times New Roman" w:cs="Times New Roman"/>
                <w:sz w:val="25"/>
                <w:szCs w:val="25"/>
              </w:rPr>
              <w:t>.</w:t>
            </w:r>
          </w:p>
          <w:p w14:paraId="3799C187" w14:textId="2D4E2E90" w:rsidR="00F910DA" w:rsidRPr="000C72D2" w:rsidRDefault="005866B5"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w:t>
            </w:r>
            <w:r w:rsidR="00F910DA" w:rsidRPr="000C72D2">
              <w:rPr>
                <w:rFonts w:ascii="Times New Roman" w:hAnsi="Times New Roman" w:cs="Times New Roman"/>
                <w:sz w:val="25"/>
                <w:szCs w:val="25"/>
              </w:rPr>
              <w:t xml:space="preserve"> </w:t>
            </w:r>
            <w:r w:rsidRPr="000C72D2">
              <w:rPr>
                <w:rFonts w:ascii="Times New Roman" w:hAnsi="Times New Roman" w:cs="Times New Roman"/>
                <w:sz w:val="25"/>
                <w:szCs w:val="25"/>
              </w:rPr>
              <w:t xml:space="preserve">Các Điều: 6, 7, 9, 10, </w:t>
            </w:r>
            <w:r w:rsidR="00EB52D7" w:rsidRPr="000C72D2">
              <w:rPr>
                <w:rFonts w:ascii="Times New Roman" w:hAnsi="Times New Roman" w:cs="Times New Roman"/>
                <w:sz w:val="25"/>
                <w:szCs w:val="25"/>
              </w:rPr>
              <w:t xml:space="preserve">12, 13, 15, 16 </w:t>
            </w:r>
            <w:r w:rsidR="00F910DA" w:rsidRPr="000C72D2">
              <w:rPr>
                <w:rFonts w:ascii="Times New Roman" w:hAnsi="Times New Roman" w:cs="Times New Roman"/>
                <w:sz w:val="25"/>
                <w:szCs w:val="25"/>
              </w:rPr>
              <w:t xml:space="preserve">Nghị định số 366/2025/NĐ-CP quy định </w:t>
            </w:r>
            <w:r w:rsidR="00F910DA" w:rsidRPr="000C72D2">
              <w:rPr>
                <w:rFonts w:ascii="Times New Roman" w:hAnsi="Times New Roman" w:cs="Times New Roman"/>
                <w:sz w:val="25"/>
                <w:szCs w:val="25"/>
              </w:rPr>
              <w:lastRenderedPageBreak/>
              <w:t>thẩm quyền quyết định chủ trương đầu tư, quyết định đầu tư vốn nhà nước vào doanh nghiệp.</w:t>
            </w:r>
          </w:p>
        </w:tc>
        <w:tc>
          <w:tcPr>
            <w:tcW w:w="4678" w:type="dxa"/>
            <w:vAlign w:val="center"/>
          </w:tcPr>
          <w:p w14:paraId="20A230D6" w14:textId="6F9F1E17" w:rsidR="00F910DA" w:rsidRPr="000C72D2" w:rsidRDefault="00F910DA" w:rsidP="00E64833">
            <w:pPr>
              <w:jc w:val="both"/>
              <w:rPr>
                <w:rFonts w:ascii="Times New Roman" w:hAnsi="Times New Roman" w:cs="Times New Roman"/>
                <w:sz w:val="25"/>
                <w:szCs w:val="25"/>
                <w:lang w:val="vi-VN"/>
              </w:rPr>
            </w:pPr>
            <w:r w:rsidRPr="000C72D2">
              <w:rPr>
                <w:rStyle w:val="Strong"/>
                <w:rFonts w:ascii="Times New Roman" w:hAnsi="Times New Roman" w:cs="Times New Roman"/>
                <w:sz w:val="25"/>
                <w:szCs w:val="25"/>
              </w:rPr>
              <w:lastRenderedPageBreak/>
              <w:t>Điều 8. Thẩm quyền đầu tư vốn nhà nước vào doanh nghiệp</w:t>
            </w:r>
            <w:r w:rsidRPr="000C72D2">
              <w:rPr>
                <w:rFonts w:ascii="Times New Roman" w:hAnsi="Times New Roman" w:cs="Times New Roman"/>
                <w:sz w:val="25"/>
                <w:szCs w:val="25"/>
              </w:rPr>
              <w:t xml:space="preserve"> quy định cụ thể thẩm quyền của HĐND Thành phố, Chủ tịch UBND Thành phố, Hội đồng thành viên, Chủ tịch công ty và người đại diện phần vốn nhà nước trong từng trường hợp đầu tư vốn.</w:t>
            </w:r>
          </w:p>
        </w:tc>
        <w:tc>
          <w:tcPr>
            <w:tcW w:w="6373" w:type="dxa"/>
            <w:vAlign w:val="center"/>
          </w:tcPr>
          <w:p w14:paraId="0A37CA51" w14:textId="70D1FF32" w:rsidR="004B7506" w:rsidRPr="000C72D2" w:rsidRDefault="00E51786" w:rsidP="00E64833">
            <w:pPr>
              <w:jc w:val="both"/>
              <w:rPr>
                <w:rFonts w:ascii="Times New Roman" w:hAnsi="Times New Roman" w:cs="Times New Roman"/>
                <w:sz w:val="25"/>
                <w:szCs w:val="25"/>
              </w:rPr>
            </w:pPr>
            <w:r w:rsidRPr="000C72D2">
              <w:rPr>
                <w:rStyle w:val="Strong"/>
                <w:rFonts w:ascii="Times New Roman" w:hAnsi="Times New Roman" w:cs="Times New Roman"/>
                <w:b w:val="0"/>
                <w:bCs w:val="0"/>
                <w:sz w:val="25"/>
                <w:szCs w:val="25"/>
              </w:rPr>
              <w:t>Quy định này nhằm cụ thể hóa chủ trương tăng cường phân cấp, phân quyền, nâng cao tính tự chủ, tự chịu trách nhiệm trong quản lý doanh nghiệp nhà nước và quản lý vốn nhà nước tại doanh nghiệp.</w:t>
            </w:r>
            <w:r w:rsidRPr="000C72D2">
              <w:rPr>
                <w:rFonts w:ascii="Times New Roman" w:hAnsi="Times New Roman" w:cs="Times New Roman"/>
                <w:sz w:val="25"/>
                <w:szCs w:val="25"/>
              </w:rPr>
              <w:t xml:space="preserve"> </w:t>
            </w:r>
            <w:r w:rsidR="00DF3BAF" w:rsidRPr="000C72D2">
              <w:rPr>
                <w:rFonts w:ascii="Times New Roman" w:hAnsi="Times New Roman" w:cs="Times New Roman"/>
                <w:sz w:val="25"/>
                <w:szCs w:val="25"/>
              </w:rPr>
              <w:t>Dự</w:t>
            </w:r>
            <w:r w:rsidRPr="000C72D2">
              <w:rPr>
                <w:rFonts w:ascii="Times New Roman" w:hAnsi="Times New Roman" w:cs="Times New Roman"/>
                <w:sz w:val="25"/>
                <w:szCs w:val="25"/>
              </w:rPr>
              <w:t xml:space="preserve"> thảo Nghị quyết quy định</w:t>
            </w:r>
            <w:r w:rsidR="004B7506" w:rsidRPr="000C72D2">
              <w:rPr>
                <w:rFonts w:ascii="Times New Roman" w:hAnsi="Times New Roman" w:cs="Times New Roman"/>
                <w:sz w:val="25"/>
                <w:szCs w:val="25"/>
              </w:rPr>
              <w:t xml:space="preserve"> theo hướng phân cấp, tạo sự chủ động cho Hội đồng nhân dân Thành phố quyết định chủ trương đầu tư và Chủ tịch UBND Thành phố </w:t>
            </w:r>
            <w:r w:rsidR="004B7506" w:rsidRPr="000C72D2">
              <w:rPr>
                <w:rFonts w:ascii="Times New Roman" w:hAnsi="Times New Roman" w:cs="Times New Roman"/>
                <w:sz w:val="25"/>
                <w:szCs w:val="25"/>
              </w:rPr>
              <w:lastRenderedPageBreak/>
              <w:t xml:space="preserve">quyết định đầu tư theo quy định tại điểm a, b khoản 9 Điều 26 Luật Thủ đô đối với một số nguồn vốn, quy mô vốn mà </w:t>
            </w:r>
            <w:r w:rsidR="00FB10C6" w:rsidRPr="000C72D2">
              <w:rPr>
                <w:rFonts w:ascii="Times New Roman" w:hAnsi="Times New Roman" w:cs="Times New Roman"/>
                <w:sz w:val="25"/>
                <w:szCs w:val="25"/>
              </w:rPr>
              <w:t xml:space="preserve">nếu </w:t>
            </w:r>
            <w:r w:rsidR="004B7506" w:rsidRPr="000C72D2">
              <w:rPr>
                <w:rFonts w:ascii="Times New Roman" w:hAnsi="Times New Roman" w:cs="Times New Roman"/>
                <w:sz w:val="25"/>
                <w:szCs w:val="25"/>
              </w:rPr>
              <w:t>theo quy định của Luật số 68/2025/QH15 và Nghị định số 366/2025/NĐ-CP phải báo cáo Thủ tướng Chính phủ quyết định chủ trương, cụ thể:</w:t>
            </w:r>
          </w:p>
          <w:p w14:paraId="23C928B6" w14:textId="66CFCB8B" w:rsidR="004B7506" w:rsidRPr="000C72D2" w:rsidRDefault="004B7506" w:rsidP="00E64833">
            <w:pPr>
              <w:jc w:val="both"/>
              <w:rPr>
                <w:rFonts w:ascii="Times New Roman" w:hAnsi="Times New Roman" w:cs="Times New Roman"/>
                <w:sz w:val="25"/>
                <w:szCs w:val="25"/>
              </w:rPr>
            </w:pPr>
            <w:r w:rsidRPr="000C72D2">
              <w:rPr>
                <w:rFonts w:ascii="Times New Roman" w:hAnsi="Times New Roman" w:cs="Times New Roman"/>
                <w:sz w:val="25"/>
                <w:szCs w:val="25"/>
              </w:rPr>
              <w:t>- Thành lập doanh nghiệp Nhà nước nắm giữ 100% vốn điều lệ</w:t>
            </w:r>
            <w:r w:rsidR="00B42D04" w:rsidRPr="000C72D2">
              <w:rPr>
                <w:rFonts w:ascii="Times New Roman" w:hAnsi="Times New Roman" w:cs="Times New Roman"/>
                <w:sz w:val="25"/>
                <w:szCs w:val="25"/>
              </w:rPr>
              <w:t xml:space="preserve">, </w:t>
            </w:r>
            <w:r w:rsidR="00B42D04" w:rsidRPr="000C72D2">
              <w:rPr>
                <w:rFonts w:ascii="Times New Roman" w:hAnsi="Times New Roman" w:cs="Times New Roman"/>
                <w:sz w:val="25"/>
                <w:szCs w:val="25"/>
                <w:lang w:val="nl-NL"/>
              </w:rPr>
              <w:t>Hội đồng nhân dân thành phố Hà Nội quyết định chủ trương đầu tư</w:t>
            </w:r>
            <w:r w:rsidRPr="000C72D2">
              <w:rPr>
                <w:rFonts w:ascii="Times New Roman" w:hAnsi="Times New Roman" w:cs="Times New Roman"/>
                <w:sz w:val="25"/>
                <w:szCs w:val="25"/>
              </w:rPr>
              <w:t>: đối với nguồn ngân sách địa phương</w:t>
            </w:r>
            <w:r w:rsidR="00FB10C6" w:rsidRPr="000C72D2">
              <w:rPr>
                <w:rFonts w:ascii="Times New Roman" w:hAnsi="Times New Roman" w:cs="Times New Roman"/>
                <w:sz w:val="25"/>
                <w:szCs w:val="25"/>
              </w:rPr>
              <w:t xml:space="preserve"> có giá trị tương ứng dự án quan trọng quốc gia, các nguồn khác (trừ ngân sách địa phương, tài sản công có giá trị thấp hơn dự án quan trọng quốc gia)</w:t>
            </w:r>
            <w:r w:rsidRPr="000C72D2">
              <w:rPr>
                <w:rFonts w:ascii="Times New Roman" w:hAnsi="Times New Roman" w:cs="Times New Roman"/>
                <w:sz w:val="25"/>
                <w:szCs w:val="25"/>
              </w:rPr>
              <w:t>.</w:t>
            </w:r>
          </w:p>
          <w:p w14:paraId="48058D11" w14:textId="3F8AD66A" w:rsidR="004B7506" w:rsidRPr="000C72D2" w:rsidRDefault="00FB10C6" w:rsidP="00E64833">
            <w:pPr>
              <w:jc w:val="both"/>
              <w:rPr>
                <w:rFonts w:ascii="Times New Roman" w:hAnsi="Times New Roman" w:cs="Times New Roman"/>
                <w:sz w:val="25"/>
                <w:szCs w:val="25"/>
              </w:rPr>
            </w:pPr>
            <w:r w:rsidRPr="000C72D2">
              <w:rPr>
                <w:rFonts w:ascii="Times New Roman" w:hAnsi="Times New Roman" w:cs="Times New Roman"/>
                <w:sz w:val="25"/>
                <w:szCs w:val="25"/>
              </w:rPr>
              <w:t>- Đầu tư bổ sung vốn nhà nước vào doanh nghiệp do Nhà nước nắm giữ 100% vốn điều lệ</w:t>
            </w:r>
            <w:r w:rsidR="00B42D04" w:rsidRPr="000C72D2">
              <w:rPr>
                <w:rFonts w:ascii="Times New Roman" w:hAnsi="Times New Roman" w:cs="Times New Roman"/>
                <w:sz w:val="25"/>
                <w:szCs w:val="25"/>
              </w:rPr>
              <w:t xml:space="preserve">, </w:t>
            </w:r>
            <w:r w:rsidR="00B42D04" w:rsidRPr="000C72D2">
              <w:rPr>
                <w:rFonts w:ascii="Times New Roman" w:hAnsi="Times New Roman" w:cs="Times New Roman"/>
                <w:sz w:val="25"/>
                <w:szCs w:val="25"/>
                <w:lang w:val="nl-NL"/>
              </w:rPr>
              <w:t>Hội đồng nhân dân thành phố Hà Nội quyết định chủ trương đầu tư</w:t>
            </w:r>
            <w:r w:rsidR="00C164DE" w:rsidRPr="000C72D2">
              <w:rPr>
                <w:rFonts w:ascii="Times New Roman" w:hAnsi="Times New Roman" w:cs="Times New Roman"/>
                <w:sz w:val="25"/>
                <w:szCs w:val="25"/>
              </w:rPr>
              <w:t xml:space="preserve"> thuộc các trường hợp</w:t>
            </w:r>
            <w:r w:rsidRPr="000C72D2">
              <w:rPr>
                <w:rFonts w:ascii="Times New Roman" w:hAnsi="Times New Roman" w:cs="Times New Roman"/>
                <w:sz w:val="25"/>
                <w:szCs w:val="25"/>
              </w:rPr>
              <w:t xml:space="preserve">: (i) </w:t>
            </w:r>
            <w:r w:rsidR="00C164DE" w:rsidRPr="000C72D2">
              <w:rPr>
                <w:rFonts w:ascii="Times New Roman" w:hAnsi="Times New Roman" w:cs="Times New Roman"/>
                <w:sz w:val="25"/>
                <w:szCs w:val="25"/>
              </w:rPr>
              <w:t xml:space="preserve">thuộc phạm vi đầu tư bổ sung vốn nhà nước của Luật số 68/2025/QH15 và văn bản hướng dẫn từ các </w:t>
            </w:r>
            <w:r w:rsidRPr="000C72D2">
              <w:rPr>
                <w:rFonts w:ascii="Times New Roman" w:hAnsi="Times New Roman" w:cs="Times New Roman"/>
                <w:sz w:val="25"/>
                <w:szCs w:val="25"/>
              </w:rPr>
              <w:t>nguồn</w:t>
            </w:r>
            <w:r w:rsidR="00C164DE" w:rsidRPr="000C72D2">
              <w:rPr>
                <w:rFonts w:ascii="Times New Roman" w:hAnsi="Times New Roman" w:cs="Times New Roman"/>
                <w:sz w:val="25"/>
                <w:szCs w:val="25"/>
              </w:rPr>
              <w:t>:</w:t>
            </w:r>
            <w:r w:rsidRPr="000C72D2">
              <w:rPr>
                <w:rFonts w:ascii="Times New Roman" w:hAnsi="Times New Roman" w:cs="Times New Roman"/>
                <w:sz w:val="25"/>
                <w:szCs w:val="25"/>
              </w:rPr>
              <w:t xml:space="preserve"> ngân sách địa phương có giá trị từ trên 5.000 tỷ đồng</w:t>
            </w:r>
            <w:r w:rsidR="00C164DE" w:rsidRPr="000C72D2">
              <w:rPr>
                <w:rFonts w:ascii="Times New Roman" w:hAnsi="Times New Roman" w:cs="Times New Roman"/>
                <w:sz w:val="25"/>
                <w:szCs w:val="25"/>
              </w:rPr>
              <w:t>,</w:t>
            </w:r>
            <w:r w:rsidRPr="000C72D2">
              <w:rPr>
                <w:rFonts w:ascii="Times New Roman" w:hAnsi="Times New Roman" w:cs="Times New Roman"/>
                <w:sz w:val="25"/>
                <w:szCs w:val="25"/>
              </w:rPr>
              <w:t xml:space="preserve"> nguồn lợi nhuận sau thuế được để lại</w:t>
            </w:r>
            <w:r w:rsidR="00C164DE" w:rsidRPr="000C72D2">
              <w:rPr>
                <w:rFonts w:ascii="Times New Roman" w:hAnsi="Times New Roman" w:cs="Times New Roman"/>
                <w:sz w:val="25"/>
                <w:szCs w:val="25"/>
              </w:rPr>
              <w:t xml:space="preserve">; (ii) doanh nghiệp có lĩnh vực kinh doanh không thuộc phạm vi đầu tư theo quy định Luật số 68/2025/QH15 nhưng thuộc </w:t>
            </w:r>
            <w:r w:rsidR="00C41599">
              <w:rPr>
                <w:rFonts w:ascii="Times New Roman" w:hAnsi="Times New Roman" w:cs="Times New Roman"/>
                <w:sz w:val="25"/>
                <w:szCs w:val="25"/>
              </w:rPr>
              <w:t xml:space="preserve">danh mục tại Điều 5 </w:t>
            </w:r>
            <w:r w:rsidR="00C164DE" w:rsidRPr="000C72D2">
              <w:rPr>
                <w:rFonts w:ascii="Times New Roman" w:hAnsi="Times New Roman" w:cs="Times New Roman"/>
                <w:sz w:val="25"/>
                <w:szCs w:val="25"/>
              </w:rPr>
              <w:t>Nghị quyết này.</w:t>
            </w:r>
          </w:p>
          <w:p w14:paraId="56FFD69C" w14:textId="35C09107" w:rsidR="00C164DE" w:rsidRPr="000C72D2" w:rsidRDefault="00C164DE" w:rsidP="00E64833">
            <w:pPr>
              <w:jc w:val="both"/>
              <w:rPr>
                <w:rFonts w:ascii="Times New Roman" w:hAnsi="Times New Roman" w:cs="Times New Roman"/>
                <w:sz w:val="25"/>
                <w:szCs w:val="25"/>
              </w:rPr>
            </w:pPr>
            <w:r w:rsidRPr="000C72D2">
              <w:rPr>
                <w:rFonts w:ascii="Times New Roman" w:hAnsi="Times New Roman" w:cs="Times New Roman"/>
                <w:sz w:val="25"/>
                <w:szCs w:val="25"/>
              </w:rPr>
              <w:t>- Bổ sung vốn đầu tư tại các công ty cổ phần, công ty TNHH hai thành viên trở lên có vốn nhà nước</w:t>
            </w:r>
            <w:r w:rsidR="00B42D04" w:rsidRPr="000C72D2">
              <w:rPr>
                <w:rFonts w:ascii="Times New Roman" w:hAnsi="Times New Roman" w:cs="Times New Roman"/>
                <w:sz w:val="25"/>
                <w:szCs w:val="25"/>
              </w:rPr>
              <w:t xml:space="preserve">, </w:t>
            </w:r>
            <w:r w:rsidR="00B42D04" w:rsidRPr="000C72D2">
              <w:rPr>
                <w:rFonts w:ascii="Times New Roman" w:hAnsi="Times New Roman" w:cs="Times New Roman"/>
                <w:sz w:val="25"/>
                <w:szCs w:val="25"/>
                <w:lang w:val="nl-NL"/>
              </w:rPr>
              <w:t>Hội đồng nhân dân thành phố Hà Nội quyết định chủ trương đầu tư đối với các trường hợp</w:t>
            </w:r>
            <w:r w:rsidRPr="000C72D2">
              <w:rPr>
                <w:rFonts w:ascii="Times New Roman" w:hAnsi="Times New Roman" w:cs="Times New Roman"/>
                <w:sz w:val="25"/>
                <w:szCs w:val="25"/>
              </w:rPr>
              <w:t xml:space="preserve">: (i) thuộc phạm vi đầu tư bổ sung vốn nhà nước của Luật số 68/2025/QH15 và văn bản hướng dẫn từ các nguồn: ngân sách địa phương có giá trị từ trên 5.000 tỷ đồng, nguồn lợi nhuận sau thuế được để lại; (ii) doanh nghiệp có lĩnh vực kinh doanh không thuộc phạm vi đầu tư theo quy định Luật số 68/2025/QH15 nhưng thuộc </w:t>
            </w:r>
            <w:r w:rsidR="00C41599">
              <w:rPr>
                <w:rFonts w:ascii="Times New Roman" w:hAnsi="Times New Roman" w:cs="Times New Roman"/>
                <w:sz w:val="25"/>
                <w:szCs w:val="25"/>
              </w:rPr>
              <w:t xml:space="preserve">Điều 5 </w:t>
            </w:r>
            <w:r w:rsidRPr="000C72D2">
              <w:rPr>
                <w:rFonts w:ascii="Times New Roman" w:hAnsi="Times New Roman" w:cs="Times New Roman"/>
                <w:sz w:val="25"/>
                <w:szCs w:val="25"/>
              </w:rPr>
              <w:t>Nghị quyết này.</w:t>
            </w:r>
          </w:p>
          <w:p w14:paraId="3A991F76" w14:textId="77777777" w:rsidR="00B14A3D" w:rsidRPr="000C72D2" w:rsidRDefault="00C164DE" w:rsidP="00E64833">
            <w:pPr>
              <w:widowControl w:val="0"/>
              <w:jc w:val="both"/>
              <w:rPr>
                <w:rFonts w:ascii="Times New Roman" w:hAnsi="Times New Roman" w:cs="Times New Roman"/>
                <w:sz w:val="25"/>
                <w:szCs w:val="25"/>
                <w:lang w:val="nl-NL"/>
              </w:rPr>
            </w:pPr>
            <w:r w:rsidRPr="000C72D2">
              <w:rPr>
                <w:rFonts w:ascii="Times New Roman" w:hAnsi="Times New Roman" w:cs="Times New Roman"/>
                <w:sz w:val="25"/>
                <w:szCs w:val="25"/>
              </w:rPr>
              <w:t xml:space="preserve">- </w:t>
            </w:r>
            <w:r w:rsidR="00B14A3D" w:rsidRPr="000C72D2">
              <w:rPr>
                <w:rFonts w:ascii="Times New Roman" w:hAnsi="Times New Roman" w:cs="Times New Roman"/>
                <w:sz w:val="25"/>
                <w:szCs w:val="25"/>
                <w:lang w:val="nl-NL"/>
              </w:rPr>
              <w:t xml:space="preserve">Đầu tư vốn nhà nước để góp vốn thành lập công ty cổ phần, công ty TNHH hai thành viên trở lên; góp vốn, mua cổ phần, mua phần vốn góp tại doanh nghiệp chưa có vốn nhà nước, Hội đồng nhân dân thành phố Hà Nội quyết định chủ trương </w:t>
            </w:r>
            <w:r w:rsidR="00B14A3D" w:rsidRPr="000C72D2">
              <w:rPr>
                <w:rFonts w:ascii="Times New Roman" w:hAnsi="Times New Roman" w:cs="Times New Roman"/>
                <w:sz w:val="25"/>
                <w:szCs w:val="25"/>
                <w:lang w:val="nl-NL"/>
              </w:rPr>
              <w:lastRenderedPageBreak/>
              <w:t>đầu tư: (i) Đối với các doanh nghiệp thuộc phạm vi quy định tại khoản 2,3,4 Điều 15 Nghị định số 366/2025/NĐ-CP của Chính phủ: từ nguồn ngân sách địa phương và tài sản công thuộc phạm vi quản lý có giá trị tương ứng với dự án quan trọng quốc gia theo quy định của pháp luật về đầu tư công; (ii) Đối với các doanh nghiệp hoạt động trong ngành, lĩnh vực có ảnh hưởng lớn đến kinh tế - xã hội của Thủ đô trên cơ sở đề xuất của Hội đồng nhân dân thành phố Hà Nội.</w:t>
            </w:r>
          </w:p>
          <w:p w14:paraId="09383E96" w14:textId="19D3BBBD" w:rsidR="00F910DA" w:rsidRPr="000C72D2" w:rsidRDefault="004B7506"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Đồng thời, dự thảo Nghị quyết cũng quy định</w:t>
            </w:r>
            <w:r w:rsidR="00E51786" w:rsidRPr="000C72D2">
              <w:rPr>
                <w:rFonts w:ascii="Times New Roman" w:hAnsi="Times New Roman" w:cs="Times New Roman"/>
                <w:sz w:val="25"/>
                <w:szCs w:val="25"/>
              </w:rPr>
              <w:t xml:space="preserve"> rõ thẩm quyền giữa HĐND Thành phố, UBND Thành phố và doanh nghiệp nhằm rút ngắn quy trình xử lý thủ tục đầu tư vốn nhà nước, nâng cao hiệu quả quản lý, đồng thời vẫn bảo đảm vai trò giám sát, quyết định chính sách lớn của HĐND Thành phố theo quy định của pháp luật.</w:t>
            </w:r>
            <w:r w:rsidR="00F910DA" w:rsidRPr="000C72D2">
              <w:rPr>
                <w:rFonts w:ascii="Times New Roman" w:hAnsi="Times New Roman" w:cs="Times New Roman"/>
                <w:sz w:val="25"/>
                <w:szCs w:val="25"/>
              </w:rPr>
              <w:t xml:space="preserve"> </w:t>
            </w:r>
          </w:p>
        </w:tc>
      </w:tr>
      <w:tr w:rsidR="00E64833" w:rsidRPr="000C72D2" w14:paraId="1CC78E06" w14:textId="77777777" w:rsidTr="000C72D2">
        <w:tc>
          <w:tcPr>
            <w:tcW w:w="746" w:type="dxa"/>
            <w:vAlign w:val="center"/>
          </w:tcPr>
          <w:p w14:paraId="376A622D" w14:textId="701B99CC" w:rsidR="00F910DA" w:rsidRPr="000C72D2" w:rsidRDefault="00F910DA"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07452F0B" w14:textId="3816DD7E" w:rsidR="00F910DA" w:rsidRPr="000C72D2" w:rsidRDefault="00F910DA" w:rsidP="00E64833">
            <w:pPr>
              <w:jc w:val="both"/>
              <w:rPr>
                <w:rFonts w:ascii="Times New Roman" w:hAnsi="Times New Roman" w:cs="Times New Roman"/>
                <w:sz w:val="25"/>
                <w:szCs w:val="25"/>
                <w:lang w:val="vi-VN"/>
              </w:rPr>
            </w:pPr>
            <w:r w:rsidRPr="000C72D2">
              <w:rPr>
                <w:rFonts w:ascii="Times New Roman" w:hAnsi="Times New Roman" w:cs="Times New Roman"/>
                <w:sz w:val="25"/>
                <w:szCs w:val="25"/>
              </w:rPr>
              <w:t>Điều 8, Điều 11, Điều 14, Điều 17 Nghị định số 366/2025/NĐ-CP quy định hồ sơ, trình tự, thủ tục đầu tư vốn nhà nước vào doanh nghiệp.</w:t>
            </w:r>
          </w:p>
        </w:tc>
        <w:tc>
          <w:tcPr>
            <w:tcW w:w="4678" w:type="dxa"/>
            <w:vAlign w:val="center"/>
          </w:tcPr>
          <w:p w14:paraId="042A728C" w14:textId="603BF793" w:rsidR="00F910DA" w:rsidRPr="000C72D2" w:rsidRDefault="00F910DA" w:rsidP="00E64833">
            <w:pPr>
              <w:jc w:val="both"/>
              <w:rPr>
                <w:rFonts w:ascii="Times New Roman" w:hAnsi="Times New Roman" w:cs="Times New Roman"/>
                <w:sz w:val="25"/>
                <w:szCs w:val="25"/>
                <w:lang w:val="vi-VN"/>
              </w:rPr>
            </w:pPr>
            <w:r w:rsidRPr="000C72D2">
              <w:rPr>
                <w:rStyle w:val="Strong"/>
                <w:rFonts w:ascii="Times New Roman" w:hAnsi="Times New Roman" w:cs="Times New Roman"/>
                <w:sz w:val="25"/>
                <w:szCs w:val="25"/>
              </w:rPr>
              <w:t>Điều 9, Điều 10, Điều 11, Điều 12</w:t>
            </w:r>
            <w:r w:rsidRPr="000C72D2">
              <w:rPr>
                <w:rFonts w:ascii="Times New Roman" w:hAnsi="Times New Roman" w:cs="Times New Roman"/>
                <w:sz w:val="25"/>
                <w:szCs w:val="25"/>
              </w:rPr>
              <w:t xml:space="preserve"> quy định trình tự, thủ tục thành lập doanh nghiệp; bổ sung vốn điều lệ; đầu tư bổ sung vốn; góp vốn, mua cổ phần, phần vốn góp tại doanh nghiệp.</w:t>
            </w:r>
          </w:p>
        </w:tc>
        <w:tc>
          <w:tcPr>
            <w:tcW w:w="6373" w:type="dxa"/>
            <w:vAlign w:val="center"/>
          </w:tcPr>
          <w:p w14:paraId="6B790527" w14:textId="133467E7" w:rsidR="00F910DA" w:rsidRPr="000C72D2" w:rsidRDefault="00F910DA" w:rsidP="00E64833">
            <w:pPr>
              <w:jc w:val="both"/>
              <w:rPr>
                <w:rFonts w:ascii="Times New Roman" w:hAnsi="Times New Roman" w:cs="Times New Roman"/>
                <w:sz w:val="25"/>
                <w:szCs w:val="25"/>
                <w:lang w:val="vi-VN"/>
              </w:rPr>
            </w:pPr>
            <w:r w:rsidRPr="000C72D2">
              <w:rPr>
                <w:rStyle w:val="Strong"/>
                <w:rFonts w:ascii="Times New Roman" w:hAnsi="Times New Roman" w:cs="Times New Roman"/>
                <w:b w:val="0"/>
                <w:bCs w:val="0"/>
                <w:sz w:val="25"/>
                <w:szCs w:val="25"/>
              </w:rPr>
              <w:t xml:space="preserve">Nội dung chủ yếu kế thừa Nghị định của Chính phủ và cụ thể hóa trách nhiệm của các cơ quan thuộc </w:t>
            </w:r>
            <w:r w:rsidR="00D35435" w:rsidRPr="000C72D2">
              <w:rPr>
                <w:rStyle w:val="Strong"/>
                <w:rFonts w:ascii="Times New Roman" w:hAnsi="Times New Roman" w:cs="Times New Roman"/>
                <w:b w:val="0"/>
                <w:bCs w:val="0"/>
                <w:sz w:val="25"/>
                <w:szCs w:val="25"/>
              </w:rPr>
              <w:t>t</w:t>
            </w:r>
            <w:r w:rsidRPr="000C72D2">
              <w:rPr>
                <w:rStyle w:val="Strong"/>
                <w:rFonts w:ascii="Times New Roman" w:hAnsi="Times New Roman" w:cs="Times New Roman"/>
                <w:b w:val="0"/>
                <w:bCs w:val="0"/>
                <w:sz w:val="25"/>
                <w:szCs w:val="25"/>
              </w:rPr>
              <w:t>hành phố</w:t>
            </w:r>
            <w:r w:rsidR="00D35435" w:rsidRPr="000C72D2">
              <w:rPr>
                <w:rStyle w:val="Strong"/>
                <w:rFonts w:ascii="Times New Roman" w:hAnsi="Times New Roman" w:cs="Times New Roman"/>
                <w:b w:val="0"/>
                <w:bCs w:val="0"/>
                <w:sz w:val="25"/>
                <w:szCs w:val="25"/>
              </w:rPr>
              <w:t xml:space="preserve"> Hà Nội</w:t>
            </w:r>
            <w:r w:rsidRPr="000C72D2">
              <w:rPr>
                <w:rStyle w:val="Strong"/>
                <w:rFonts w:ascii="Times New Roman" w:hAnsi="Times New Roman" w:cs="Times New Roman"/>
                <w:b w:val="0"/>
                <w:bCs w:val="0"/>
                <w:sz w:val="25"/>
                <w:szCs w:val="25"/>
              </w:rPr>
              <w:t>.</w:t>
            </w:r>
            <w:r w:rsidRPr="000C72D2">
              <w:rPr>
                <w:rFonts w:ascii="Times New Roman" w:hAnsi="Times New Roman" w:cs="Times New Roman"/>
                <w:b/>
                <w:bCs/>
                <w:sz w:val="25"/>
                <w:szCs w:val="25"/>
              </w:rPr>
              <w:t xml:space="preserve"> </w:t>
            </w:r>
            <w:r w:rsidRPr="000C72D2">
              <w:rPr>
                <w:rFonts w:ascii="Times New Roman" w:hAnsi="Times New Roman" w:cs="Times New Roman"/>
                <w:sz w:val="25"/>
                <w:szCs w:val="25"/>
              </w:rPr>
              <w:t xml:space="preserve">Dự thảo đã phân công rõ trách nhiệm của Sở Nội vụ, Sở Tài chính và các cơ quan liên quan trong quá trình xây dựng đề án, thẩm định và trình quyết định đầu tư vốn. </w:t>
            </w:r>
          </w:p>
        </w:tc>
      </w:tr>
      <w:tr w:rsidR="003D20E5" w:rsidRPr="000C72D2" w14:paraId="2F588EA3" w14:textId="77777777" w:rsidTr="000C72D2">
        <w:tc>
          <w:tcPr>
            <w:tcW w:w="746" w:type="dxa"/>
            <w:vAlign w:val="center"/>
          </w:tcPr>
          <w:p w14:paraId="599C5F46" w14:textId="77777777" w:rsidR="003D20E5" w:rsidRPr="000C72D2" w:rsidRDefault="003D20E5"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5EFFD732" w14:textId="77777777" w:rsidR="003D20E5" w:rsidRPr="000C72D2" w:rsidRDefault="003D20E5" w:rsidP="00E64833">
            <w:pPr>
              <w:jc w:val="both"/>
              <w:rPr>
                <w:rFonts w:ascii="Times New Roman" w:hAnsi="Times New Roman" w:cs="Times New Roman"/>
                <w:sz w:val="25"/>
                <w:szCs w:val="25"/>
              </w:rPr>
            </w:pPr>
          </w:p>
        </w:tc>
        <w:tc>
          <w:tcPr>
            <w:tcW w:w="4678" w:type="dxa"/>
            <w:vAlign w:val="center"/>
          </w:tcPr>
          <w:p w14:paraId="32E94727" w14:textId="77777777" w:rsidR="003D20E5" w:rsidRPr="000C72D2" w:rsidRDefault="003D20E5" w:rsidP="00A56E08">
            <w:pPr>
              <w:autoSpaceDE w:val="0"/>
              <w:autoSpaceDN w:val="0"/>
              <w:adjustRightInd w:val="0"/>
              <w:spacing w:before="60"/>
              <w:jc w:val="both"/>
              <w:rPr>
                <w:rFonts w:ascii="Times New Roman" w:hAnsi="Times New Roman" w:cs="Times New Roman"/>
                <w:b/>
                <w:bCs/>
                <w:spacing w:val="3"/>
                <w:sz w:val="25"/>
                <w:szCs w:val="25"/>
                <w:highlight w:val="white"/>
                <w:lang w:val="vi-VN"/>
              </w:rPr>
            </w:pPr>
            <w:r w:rsidRPr="000C72D2">
              <w:rPr>
                <w:rStyle w:val="Strong"/>
                <w:rFonts w:ascii="Times New Roman" w:hAnsi="Times New Roman" w:cs="Times New Roman"/>
                <w:sz w:val="25"/>
                <w:szCs w:val="25"/>
              </w:rPr>
              <w:t xml:space="preserve">Điều 13. </w:t>
            </w:r>
            <w:r w:rsidRPr="000C72D2">
              <w:rPr>
                <w:rFonts w:ascii="Times New Roman" w:hAnsi="Times New Roman" w:cs="Times New Roman"/>
                <w:b/>
                <w:bCs/>
                <w:spacing w:val="3"/>
                <w:sz w:val="25"/>
                <w:szCs w:val="25"/>
                <w:highlight w:val="white"/>
                <w:lang w:val="vi-VN"/>
              </w:rPr>
              <w:t xml:space="preserve">Nguyên tắc chung thực hiện tiền lương, thù lao, tiền thưởng: </w:t>
            </w:r>
          </w:p>
          <w:p w14:paraId="3A5B6136" w14:textId="77777777" w:rsidR="003D20E5" w:rsidRPr="000C72D2" w:rsidRDefault="003D20E5" w:rsidP="00A56E08">
            <w:pPr>
              <w:shd w:val="clear" w:color="auto" w:fill="FFFFFF"/>
              <w:spacing w:before="60"/>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 xml:space="preserve">1. Người đại diện chủ sở hữu trực tiếp, Kiểm soát viên, người đại diện vốn chuyên trách được xếp lương theo bảng lương của doanh nghiệp xây dựng, ban hành làm cơ sở để thực hiện chế độ bảo hiểm xã hội, bảo hiểm y tế, bảo hiểm thất nghiệp và các chế độ khác theo quy định của pháp luật lao động và hưởng tiền lương, tiền thưởng do doanh nghiệp chi trả; người đại diện chủ sở hữu trực tiếp, Kiểm soát viên và người đại diện vốn không chuyên trách thì xếp lương, hưởng tiền </w:t>
            </w:r>
            <w:r w:rsidRPr="000C72D2">
              <w:rPr>
                <w:rFonts w:ascii="Times New Roman" w:hAnsi="Times New Roman" w:cs="Times New Roman"/>
                <w:sz w:val="25"/>
                <w:szCs w:val="25"/>
                <w:lang w:val="vi-VN"/>
              </w:rPr>
              <w:lastRenderedPageBreak/>
              <w:t xml:space="preserve">lương, tiền thưởng do cơ quan đại diện chủ sở hữu chi trả gắn với chức danh, công việc đảm nhận tại cơ quan đại diện chủ sở hữu và hưởng thù lao do doanh nghiệp chi trả. </w:t>
            </w:r>
          </w:p>
          <w:p w14:paraId="5EAD1760" w14:textId="77777777" w:rsidR="003D20E5" w:rsidRPr="000C72D2" w:rsidRDefault="003D20E5" w:rsidP="00A56E08">
            <w:pPr>
              <w:shd w:val="clear" w:color="auto" w:fill="FFFFFF"/>
              <w:spacing w:before="60"/>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2. Mức tiền lương, thù lao tối đa tại Phụ lục V này được quy định theo chức danh Chủ tịch, thành viên Hội đồng quản trị, Chủ tịch, thành viên Hội đồng thành viên, Chủ tịch công ty, Trưởng Ban kiểm soát, Kiểm soát viên (sau đây gọi tắt là Thành viên hội đồng, Kiểm soát viên), tính bình quân theo tháng và gắn với các chỉ tiêu sản xuất, kinh doanh theo năm, gồm: vốn chủ sở hữu hoặc vốn góp của chủ sở hữu; doanh thu; lợi nhuận trước thuế thu nhập doanh nghiệp hoặc tổng doanh thu trừ tổng chi phí đối với doanh nghiệp hoạt động không vì mục tiêu lợi nhuận. Việc xác định mức tiền lương, thù lao, tiền thưởng tối đa làm cơ sở để thực hiện mức tiền lương, thù lao, tiền thưởng cụ thể được căn cứ vào các chỉ tiêu sản xuất, kinh doanh thực hiện hằng năm của doanh nghiệp nhà nước, tổ chức tín dụng theo quy định tại </w:t>
            </w:r>
            <w:bookmarkStart w:id="3" w:name="dc_1"/>
            <w:r w:rsidRPr="000C72D2">
              <w:rPr>
                <w:rFonts w:ascii="Times New Roman" w:hAnsi="Times New Roman" w:cs="Times New Roman"/>
                <w:sz w:val="25"/>
                <w:szCs w:val="25"/>
                <w:lang w:val="vi-VN"/>
              </w:rPr>
              <w:t>khoản 3 Điều 2 Luật Quản lý và đầu tư vốn nhà nước tại doanh nghiệp</w:t>
            </w:r>
            <w:bookmarkEnd w:id="3"/>
            <w:r w:rsidRPr="000C72D2">
              <w:rPr>
                <w:rFonts w:ascii="Times New Roman" w:hAnsi="Times New Roman" w:cs="Times New Roman"/>
                <w:sz w:val="25"/>
                <w:szCs w:val="25"/>
                <w:lang w:val="vi-VN"/>
              </w:rPr>
              <w:t> và chức danh thực tế đảm nhận của người đại diện chủ sở hữu trực tiếp, Kiểm soát viên, người đại diện vốn tại doanh nghiệp. Trong đó:</w:t>
            </w:r>
          </w:p>
          <w:p w14:paraId="3166B802" w14:textId="77777777" w:rsidR="003D20E5" w:rsidRPr="000C72D2" w:rsidRDefault="003D20E5" w:rsidP="00A56E08">
            <w:pPr>
              <w:shd w:val="clear" w:color="auto" w:fill="FFFFFF"/>
              <w:spacing w:before="60"/>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 xml:space="preserve">a) Đối với người đại diện chủ sở hữu trực tiếp, người đại diện vốn đảm nhận chức danh là Chủ tịch công ty kiêm Tổng Giám đốc, Giám đốc hoặc Chủ tịch Hội đồng thành viên kiêm Tổng Giám đốc, Giám đốc theo quy </w:t>
            </w:r>
            <w:r w:rsidRPr="000C72D2">
              <w:rPr>
                <w:rFonts w:ascii="Times New Roman" w:hAnsi="Times New Roman" w:cs="Times New Roman"/>
                <w:sz w:val="25"/>
                <w:szCs w:val="25"/>
                <w:lang w:val="vi-VN"/>
              </w:rPr>
              <w:lastRenderedPageBreak/>
              <w:t xml:space="preserve">định của pháp luật thì xác định tiền lương, tiền thưởng theo Chủ tịch công ty hoặc Chủ tịch Hội đồng thành viên chuyên trách, trong đó tiền lương được tăng thêm bằng </w:t>
            </w:r>
            <w:r w:rsidRPr="000C72D2">
              <w:rPr>
                <w:rFonts w:ascii="Times New Roman" w:hAnsi="Times New Roman" w:cs="Times New Roman"/>
                <w:bCs/>
                <w:sz w:val="25"/>
                <w:szCs w:val="25"/>
                <w:lang w:val="vi-VN"/>
              </w:rPr>
              <w:t>30%</w:t>
            </w:r>
            <w:r w:rsidRPr="000C72D2">
              <w:rPr>
                <w:rFonts w:ascii="Times New Roman" w:hAnsi="Times New Roman" w:cs="Times New Roman"/>
                <w:sz w:val="25"/>
                <w:szCs w:val="25"/>
                <w:lang w:val="vi-VN"/>
              </w:rPr>
              <w:t xml:space="preserve"> mức tiền lương của chức danh này; Thành viên hội đồng đồng thời là thành viên Ban điều hành thì xác định theo tiền lương, tiền thưởng của thành viên Ban điều hành và thù lao của Thành viên hội đồng không chuyên trách; Ban kiểm soát chỉ có 01 Kiểm soát viên theo quy định tại </w:t>
            </w:r>
            <w:bookmarkStart w:id="4" w:name="dc_2"/>
            <w:r w:rsidRPr="000C72D2">
              <w:rPr>
                <w:rFonts w:ascii="Times New Roman" w:hAnsi="Times New Roman" w:cs="Times New Roman"/>
                <w:sz w:val="25"/>
                <w:szCs w:val="25"/>
                <w:lang w:val="vi-VN"/>
              </w:rPr>
              <w:t>Điều 103 Luật Doanh nghiệp</w:t>
            </w:r>
            <w:bookmarkEnd w:id="4"/>
            <w:r w:rsidRPr="000C72D2">
              <w:rPr>
                <w:rFonts w:ascii="Times New Roman" w:hAnsi="Times New Roman" w:cs="Times New Roman"/>
                <w:sz w:val="25"/>
                <w:szCs w:val="25"/>
                <w:lang w:val="vi-VN"/>
              </w:rPr>
              <w:t> thì xác định theo tiền lương, thù lao của Trưởng Ban kiểm soát;</w:t>
            </w:r>
          </w:p>
          <w:p w14:paraId="17EF800B" w14:textId="4CAE016A" w:rsidR="003D20E5" w:rsidRPr="000C72D2" w:rsidRDefault="003D20E5" w:rsidP="00A56E08">
            <w:pPr>
              <w:jc w:val="both"/>
              <w:rPr>
                <w:rStyle w:val="Strong"/>
                <w:rFonts w:ascii="Times New Roman" w:hAnsi="Times New Roman" w:cs="Times New Roman"/>
                <w:sz w:val="25"/>
                <w:szCs w:val="25"/>
              </w:rPr>
            </w:pPr>
            <w:r w:rsidRPr="000C72D2">
              <w:rPr>
                <w:rFonts w:ascii="Times New Roman" w:hAnsi="Times New Roman" w:cs="Times New Roman"/>
                <w:sz w:val="25"/>
                <w:szCs w:val="25"/>
                <w:lang w:val="vi-VN"/>
              </w:rPr>
              <w:t>b) Đối với người đại diện vốn đảm nhận chức danh không phải là Thành viên hội đồng thì người đại diện vốn chuyên trách hưởng mức tiền lương, tiền thưởng do doanh nghiệp chi trả được xác định theo chức danh người đại diện vốn đảm nhận tại doanh nghiệp theo quy chế tiền lương hoặc quy định của doanh nghiệp; người đại diện vốn không chuyên trách hưởng mức tiền lương, tiền thưởng do cơ quan đại diện chủ sở hữu chi trả gắn với chức danh, công việc đảm nhận theo khoản 1 Điều này và thù lao do doanh nghiệp chi trả được xác định theo chức danh người đại diện vốn đảm nhận tại doanh nghiệp theo quy chế tiền lương hoặc quy định của doanh nghiệp.</w:t>
            </w:r>
          </w:p>
        </w:tc>
        <w:tc>
          <w:tcPr>
            <w:tcW w:w="6373" w:type="dxa"/>
            <w:vAlign w:val="center"/>
          </w:tcPr>
          <w:p w14:paraId="249F861E"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lastRenderedPageBreak/>
              <w:t>Nội dung cơ bản kế thừa quy định của Nghị định 248/2025/NĐ-CP.</w:t>
            </w:r>
          </w:p>
          <w:p w14:paraId="5A0FE888" w14:textId="77777777" w:rsidR="003D20E5" w:rsidRPr="000C72D2" w:rsidRDefault="003D20E5" w:rsidP="00A56E08">
            <w:pPr>
              <w:jc w:val="both"/>
              <w:rPr>
                <w:rStyle w:val="Strong"/>
                <w:rFonts w:ascii="Times New Roman" w:hAnsi="Times New Roman" w:cs="Times New Roman"/>
                <w:b w:val="0"/>
                <w:bCs w:val="0"/>
                <w:sz w:val="25"/>
                <w:szCs w:val="25"/>
              </w:rPr>
            </w:pPr>
          </w:p>
        </w:tc>
      </w:tr>
      <w:tr w:rsidR="003D20E5" w:rsidRPr="000C72D2" w14:paraId="4E0760CE" w14:textId="77777777" w:rsidTr="000C72D2">
        <w:tc>
          <w:tcPr>
            <w:tcW w:w="746" w:type="dxa"/>
            <w:vAlign w:val="center"/>
          </w:tcPr>
          <w:p w14:paraId="750595DC" w14:textId="77777777" w:rsidR="003D20E5" w:rsidRPr="000C72D2" w:rsidRDefault="003D20E5" w:rsidP="00E64833">
            <w:pPr>
              <w:pStyle w:val="ListParagraph"/>
              <w:numPr>
                <w:ilvl w:val="0"/>
                <w:numId w:val="45"/>
              </w:numPr>
              <w:contextualSpacing w:val="0"/>
              <w:rPr>
                <w:rFonts w:ascii="Times New Roman" w:hAnsi="Times New Roman" w:cs="Times New Roman"/>
                <w:sz w:val="25"/>
                <w:szCs w:val="25"/>
                <w:lang w:val="vi-VN"/>
              </w:rPr>
            </w:pPr>
          </w:p>
        </w:tc>
        <w:tc>
          <w:tcPr>
            <w:tcW w:w="3082" w:type="dxa"/>
            <w:vAlign w:val="center"/>
          </w:tcPr>
          <w:p w14:paraId="72531A8C" w14:textId="77777777" w:rsidR="003D20E5" w:rsidRPr="000C72D2" w:rsidRDefault="003D20E5" w:rsidP="00E64833">
            <w:pPr>
              <w:jc w:val="both"/>
              <w:rPr>
                <w:rFonts w:ascii="Times New Roman" w:hAnsi="Times New Roman" w:cs="Times New Roman"/>
                <w:sz w:val="25"/>
                <w:szCs w:val="25"/>
              </w:rPr>
            </w:pPr>
          </w:p>
        </w:tc>
        <w:tc>
          <w:tcPr>
            <w:tcW w:w="4678" w:type="dxa"/>
            <w:vAlign w:val="center"/>
          </w:tcPr>
          <w:p w14:paraId="0C199801"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bookmarkStart w:id="5" w:name="chuong_2_name"/>
            <w:r w:rsidRPr="000C72D2">
              <w:rPr>
                <w:rFonts w:ascii="Times New Roman" w:hAnsi="Times New Roman" w:cs="Times New Roman"/>
                <w:b/>
                <w:bCs/>
                <w:sz w:val="25"/>
                <w:szCs w:val="25"/>
                <w:lang w:val="vi-VN"/>
              </w:rPr>
              <w:t>Điều 14 Mức tiền lương, thù lao, tiền thưởng tối đa của Thành viên hội đồng, kiểm soát viên</w:t>
            </w:r>
            <w:bookmarkEnd w:id="5"/>
          </w:p>
          <w:p w14:paraId="4CE92326"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bookmarkStart w:id="6" w:name="dieu_4"/>
            <w:r w:rsidRPr="000C72D2">
              <w:rPr>
                <w:rFonts w:ascii="Times New Roman" w:hAnsi="Times New Roman" w:cs="Times New Roman"/>
                <w:sz w:val="25"/>
                <w:szCs w:val="25"/>
                <w:lang w:val="vi-VN"/>
              </w:rPr>
              <w:t>1. Mức lương cơ bản</w:t>
            </w:r>
            <w:bookmarkEnd w:id="6"/>
          </w:p>
          <w:p w14:paraId="26F638E8"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lastRenderedPageBreak/>
              <w:t>a</w:t>
            </w:r>
            <w:r w:rsidRPr="000C72D2">
              <w:rPr>
                <w:rFonts w:ascii="Times New Roman" w:hAnsi="Times New Roman" w:cs="Times New Roman"/>
                <w:sz w:val="25"/>
                <w:szCs w:val="25"/>
              </w:rPr>
              <w:t>)</w:t>
            </w:r>
            <w:r w:rsidRPr="000C72D2">
              <w:rPr>
                <w:rFonts w:ascii="Times New Roman" w:hAnsi="Times New Roman" w:cs="Times New Roman"/>
                <w:sz w:val="25"/>
                <w:szCs w:val="25"/>
                <w:lang w:val="vi-VN"/>
              </w:rPr>
              <w:t xml:space="preserve"> Mức lương cơ bản của Thành viên hội đồng, Kiểm soát viên chuyên trách tối đa được quy định tại Phụ lục V (được tính hệ số 1,8 lần so với mức lương cơ bản được quy định tại Nghị định số 248/2025/NĐ-CP của Chính phủ).</w:t>
            </w:r>
          </w:p>
          <w:p w14:paraId="4EF1D66D"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b</w:t>
            </w:r>
            <w:r w:rsidRPr="000C72D2">
              <w:rPr>
                <w:rFonts w:ascii="Times New Roman" w:hAnsi="Times New Roman" w:cs="Times New Roman"/>
                <w:sz w:val="25"/>
                <w:szCs w:val="25"/>
              </w:rPr>
              <w:t>)</w:t>
            </w:r>
            <w:r w:rsidRPr="000C72D2">
              <w:rPr>
                <w:rFonts w:ascii="Times New Roman" w:hAnsi="Times New Roman" w:cs="Times New Roman"/>
                <w:sz w:val="25"/>
                <w:szCs w:val="25"/>
                <w:lang w:val="vi-VN"/>
              </w:rPr>
              <w:t xml:space="preserve"> Việc áp dụng các mức lương cơ bản của nhóm I và nhóm II được thực hiện theo quy định tại Phụ lục II ban hành kèm theo Nghị định 248/2025/NĐ-CP</w:t>
            </w:r>
          </w:p>
          <w:p w14:paraId="2EBBEBA4"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2. Mức tiền lương tối đa của Thành viên hội đồng, Kiểm soát viên chuyên trách được xác định trên cơ sở mức lương cơ bản quy định tại </w:t>
            </w:r>
            <w:bookmarkStart w:id="7" w:name="tc_1"/>
            <w:r w:rsidRPr="000C72D2">
              <w:rPr>
                <w:rFonts w:ascii="Times New Roman" w:hAnsi="Times New Roman" w:cs="Times New Roman"/>
                <w:sz w:val="25"/>
                <w:szCs w:val="25"/>
                <w:lang w:val="vi-VN"/>
              </w:rPr>
              <w:t>Phụ lục V</w:t>
            </w:r>
            <w:bookmarkEnd w:id="7"/>
            <w:r w:rsidRPr="000C72D2">
              <w:rPr>
                <w:rFonts w:ascii="Times New Roman" w:hAnsi="Times New Roman" w:cs="Times New Roman"/>
                <w:sz w:val="25"/>
                <w:szCs w:val="25"/>
                <w:lang w:val="vi-VN"/>
              </w:rPr>
              <w:t> và lợi nhuận thực hiện của doanh nghiệp, cụ thể:</w:t>
            </w:r>
          </w:p>
          <w:p w14:paraId="7A4BB676"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a</w:t>
            </w:r>
            <w:r w:rsidRPr="000C72D2">
              <w:rPr>
                <w:rFonts w:ascii="Times New Roman" w:hAnsi="Times New Roman" w:cs="Times New Roman"/>
                <w:sz w:val="25"/>
                <w:szCs w:val="25"/>
              </w:rPr>
              <w:t>)</w:t>
            </w:r>
            <w:r w:rsidRPr="000C72D2">
              <w:rPr>
                <w:rFonts w:ascii="Times New Roman" w:hAnsi="Times New Roman" w:cs="Times New Roman"/>
                <w:sz w:val="25"/>
                <w:szCs w:val="25"/>
                <w:lang w:val="vi-VN"/>
              </w:rPr>
              <w:t xml:space="preserve"> Doanh nghiệp có lợi nhuận và lợi nhuận thực hiện không thấp hơn kế hoạch thì mức tiền lương tối đa bằng 02 lần mức lương cơ bản, nếu lợi nhuận thực hiện vượt kế hoạch thì thực hiện theo nguyên tắc 1% lợi nhuận vượt so với kế hoạch, được tính thêm 2% mức tiền lương nhưng không quá 30% mức tiền lương tính trên cơ sở 02 lần mức lương cơ bản. Trường hợp lợi nhuận thực hiện thấp hơn kế hoạch thì mức tiền lương được tính bằng 80% nhân với 02 lần mức lương cơ bản và nhân với tỷ lệ lợi nhuận thực hiện so với lợi nhuận kế hoạch, nhưng không thấp hơn 80% mức lương cơ bản.</w:t>
            </w:r>
          </w:p>
          <w:p w14:paraId="45A3BC6F" w14:textId="77777777" w:rsidR="003D20E5" w:rsidRPr="000C72D2" w:rsidRDefault="003D20E5" w:rsidP="00A56E08">
            <w:pPr>
              <w:shd w:val="clear" w:color="auto" w:fill="FFFFFF"/>
              <w:spacing w:before="60"/>
              <w:ind w:firstLine="38"/>
              <w:jc w:val="both"/>
              <w:rPr>
                <w:rFonts w:ascii="Times New Roman" w:hAnsi="Times New Roman" w:cs="Times New Roman"/>
                <w:spacing w:val="-2"/>
                <w:sz w:val="25"/>
                <w:szCs w:val="25"/>
                <w:lang w:val="vi-VN"/>
              </w:rPr>
            </w:pPr>
            <w:r w:rsidRPr="000C72D2">
              <w:rPr>
                <w:rFonts w:ascii="Times New Roman" w:hAnsi="Times New Roman" w:cs="Times New Roman"/>
                <w:spacing w:val="-2"/>
                <w:sz w:val="25"/>
                <w:szCs w:val="25"/>
                <w:lang w:val="vi-VN"/>
              </w:rPr>
              <w:t>b</w:t>
            </w:r>
            <w:r w:rsidRPr="000C72D2">
              <w:rPr>
                <w:rFonts w:ascii="Times New Roman" w:hAnsi="Times New Roman" w:cs="Times New Roman"/>
                <w:spacing w:val="-2"/>
                <w:sz w:val="25"/>
                <w:szCs w:val="25"/>
              </w:rPr>
              <w:t>)</w:t>
            </w:r>
            <w:r w:rsidRPr="000C72D2">
              <w:rPr>
                <w:rFonts w:ascii="Times New Roman" w:hAnsi="Times New Roman" w:cs="Times New Roman"/>
                <w:spacing w:val="-2"/>
                <w:sz w:val="25"/>
                <w:szCs w:val="25"/>
                <w:lang w:val="vi-VN"/>
              </w:rPr>
              <w:t xml:space="preserve"> Doanh nghiệp có lợi nhuận thực hiện cao hơn từ 02 lần trở lên so với chỉ tiêu lợi nhuận tối thiểu theo quy định; doanh nghiệp không có lợi nhuận; doanh nghiệp lỗ hoặc giảm lỗ; </w:t>
            </w:r>
            <w:r w:rsidRPr="000C72D2">
              <w:rPr>
                <w:rFonts w:ascii="Times New Roman" w:hAnsi="Times New Roman" w:cs="Times New Roman"/>
                <w:spacing w:val="-2"/>
                <w:sz w:val="25"/>
                <w:szCs w:val="25"/>
                <w:lang w:val="vi-VN"/>
              </w:rPr>
              <w:lastRenderedPageBreak/>
              <w:t>doanh nghiệp mới thành lập hoặc mới đi vào hoạt động thì mức tiền lương tối đa thực hiện theo quy định tại Nghị định 248/2025/NĐ-CP.</w:t>
            </w:r>
          </w:p>
          <w:p w14:paraId="3580D9FF"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3</w:t>
            </w:r>
            <w:r w:rsidRPr="000C72D2">
              <w:rPr>
                <w:rFonts w:ascii="Times New Roman" w:hAnsi="Times New Roman" w:cs="Times New Roman"/>
                <w:sz w:val="25"/>
                <w:szCs w:val="25"/>
              </w:rPr>
              <w:t>.</w:t>
            </w:r>
            <w:r w:rsidRPr="000C72D2">
              <w:rPr>
                <w:rFonts w:ascii="Times New Roman" w:hAnsi="Times New Roman" w:cs="Times New Roman"/>
                <w:sz w:val="25"/>
                <w:szCs w:val="25"/>
                <w:lang w:val="vi-VN"/>
              </w:rPr>
              <w:t xml:space="preserve"> Mức thù lao</w:t>
            </w:r>
          </w:p>
          <w:p w14:paraId="2B37E627"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Mức thù lao của Thành viên hội đồng, Kiểm soát viên không chuyên trách được xác định theo thời gian thực tế làm việc nhưng không được vượt quá 30%  mức tiền lương tương ứng của Thành viên hội đồng, Kiểm soát viên chuyên trách.</w:t>
            </w:r>
          </w:p>
          <w:p w14:paraId="1A8529D5"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 xml:space="preserve">Mức thù lao của người đại diện vốn nhà nước tại các doanh nghiệp do nhà nước nắm giữ dưới 50% vốn điều lệ, được xác định theo thời gian thực tế làm việc nhưng không vượt quá 30% mức tiền lương tương ứng của người đại diện vốn tại doanh nghiệp. </w:t>
            </w:r>
          </w:p>
          <w:p w14:paraId="01A284AF" w14:textId="77777777" w:rsidR="003D20E5" w:rsidRPr="000C72D2" w:rsidRDefault="003D20E5" w:rsidP="00A56E08">
            <w:pPr>
              <w:shd w:val="clear" w:color="auto" w:fill="FFFFFF"/>
              <w:spacing w:before="60"/>
              <w:ind w:firstLine="38"/>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4</w:t>
            </w:r>
            <w:r w:rsidRPr="000C72D2">
              <w:rPr>
                <w:rFonts w:ascii="Times New Roman" w:hAnsi="Times New Roman" w:cs="Times New Roman"/>
                <w:sz w:val="25"/>
                <w:szCs w:val="25"/>
              </w:rPr>
              <w:t>.</w:t>
            </w:r>
            <w:r w:rsidRPr="000C72D2">
              <w:rPr>
                <w:rFonts w:ascii="Times New Roman" w:hAnsi="Times New Roman" w:cs="Times New Roman"/>
                <w:sz w:val="25"/>
                <w:szCs w:val="25"/>
                <w:lang w:val="vi-VN"/>
              </w:rPr>
              <w:t xml:space="preserve"> Tiền thưởng</w:t>
            </w:r>
          </w:p>
          <w:p w14:paraId="792E4FFD" w14:textId="52C8D8CF" w:rsidR="003D20E5" w:rsidRPr="000C72D2" w:rsidRDefault="003D20E5" w:rsidP="00A56E08">
            <w:pPr>
              <w:autoSpaceDE w:val="0"/>
              <w:autoSpaceDN w:val="0"/>
              <w:adjustRightInd w:val="0"/>
              <w:spacing w:before="60"/>
              <w:ind w:firstLine="38"/>
              <w:jc w:val="both"/>
              <w:rPr>
                <w:rStyle w:val="Strong"/>
                <w:rFonts w:ascii="Times New Roman" w:hAnsi="Times New Roman" w:cs="Times New Roman"/>
                <w:sz w:val="25"/>
                <w:szCs w:val="25"/>
              </w:rPr>
            </w:pPr>
            <w:r w:rsidRPr="000C72D2">
              <w:rPr>
                <w:rFonts w:ascii="Times New Roman" w:hAnsi="Times New Roman" w:cs="Times New Roman"/>
                <w:sz w:val="25"/>
                <w:szCs w:val="25"/>
                <w:lang w:val="vi-VN"/>
              </w:rPr>
              <w:t>Ngoài tiền thưởng theo quy định của doanh nghiệp, được thưởng 1% phần chênh lệch lợi nhuận sau thuế thực hiện so với kế hoạch của doanh nghiệp.</w:t>
            </w:r>
          </w:p>
        </w:tc>
        <w:tc>
          <w:tcPr>
            <w:tcW w:w="6373" w:type="dxa"/>
            <w:vAlign w:val="center"/>
          </w:tcPr>
          <w:p w14:paraId="28247EAE"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32DABBC3"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27D8B705"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28F3EBBF" w14:textId="35B3B533" w:rsidR="003D20E5" w:rsidRPr="000C72D2" w:rsidRDefault="003D20E5" w:rsidP="00A56E08">
            <w:pPr>
              <w:pStyle w:val="ListParagraph"/>
              <w:numPr>
                <w:ilvl w:val="0"/>
                <w:numId w:val="48"/>
              </w:numPr>
              <w:autoSpaceDE w:val="0"/>
              <w:autoSpaceDN w:val="0"/>
              <w:adjustRightInd w:val="0"/>
              <w:spacing w:before="40" w:after="40"/>
              <w:ind w:firstLine="0"/>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Mức lương cơ bản: </w:t>
            </w:r>
            <w:r w:rsidRPr="000C72D2">
              <w:rPr>
                <w:rFonts w:ascii="Times New Roman" w:hAnsi="Times New Roman" w:cs="Times New Roman"/>
                <w:sz w:val="25"/>
                <w:szCs w:val="25"/>
                <w:lang w:val="vi-VN"/>
              </w:rPr>
              <w:t>Nội dung cơ bản kế thừa quy định của Nghị định 248/2025/NĐ-CP.</w:t>
            </w:r>
          </w:p>
          <w:p w14:paraId="30A7C1C0"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lastRenderedPageBreak/>
              <w:t xml:space="preserve">Riêng tỷ lệ có tăng cao thêm 10% so với quy định tại Nghị định 248/2025/NĐ-CP </w:t>
            </w:r>
          </w:p>
          <w:p w14:paraId="2EC0AD0B"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 xml:space="preserve"> (quy định của Nghị định 248/2025/NĐ-CP là không quá 20%)</w:t>
            </w:r>
          </w:p>
          <w:p w14:paraId="30BB495D"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1BFA461F"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6B60E079"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7E9075E8"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070835C1"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6102D2F3"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4463AA11"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3E801655"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52E591A5"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4C114DD1"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42408FDD"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2D173974"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0318B7B1"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7F2FA150"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4BED4C0B"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16AF69D3"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38114214"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4CBC940E"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0EDB3CE2"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2DDF49FE"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5B59ED0E"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1C572425"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1B736B79"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2239503D"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122D45F0"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62443227"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066582A5"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6F9D801E" w14:textId="77777777" w:rsidR="00A56E08" w:rsidRPr="000C72D2" w:rsidRDefault="00A56E08" w:rsidP="00A56E08">
            <w:pPr>
              <w:pStyle w:val="ListParagraph"/>
              <w:autoSpaceDE w:val="0"/>
              <w:autoSpaceDN w:val="0"/>
              <w:adjustRightInd w:val="0"/>
              <w:spacing w:before="40" w:after="40"/>
              <w:ind w:left="0"/>
              <w:jc w:val="both"/>
              <w:rPr>
                <w:rFonts w:ascii="Times New Roman" w:hAnsi="Times New Roman" w:cs="Times New Roman"/>
                <w:sz w:val="25"/>
                <w:szCs w:val="25"/>
              </w:rPr>
            </w:pPr>
          </w:p>
          <w:p w14:paraId="713BF38A" w14:textId="77777777" w:rsidR="00A56E08" w:rsidRPr="000C72D2" w:rsidRDefault="00A56E08" w:rsidP="00A56E08">
            <w:pPr>
              <w:pStyle w:val="ListParagraph"/>
              <w:autoSpaceDE w:val="0"/>
              <w:autoSpaceDN w:val="0"/>
              <w:adjustRightInd w:val="0"/>
              <w:spacing w:before="40" w:after="40"/>
              <w:ind w:left="0"/>
              <w:jc w:val="both"/>
              <w:rPr>
                <w:rFonts w:ascii="Times New Roman" w:hAnsi="Times New Roman" w:cs="Times New Roman"/>
                <w:sz w:val="25"/>
                <w:szCs w:val="25"/>
              </w:rPr>
            </w:pPr>
          </w:p>
          <w:p w14:paraId="692D8967" w14:textId="77777777" w:rsidR="00A56E08" w:rsidRPr="000C72D2" w:rsidRDefault="00A56E08" w:rsidP="00A56E08">
            <w:pPr>
              <w:pStyle w:val="ListParagraph"/>
              <w:autoSpaceDE w:val="0"/>
              <w:autoSpaceDN w:val="0"/>
              <w:adjustRightInd w:val="0"/>
              <w:spacing w:before="40" w:after="40"/>
              <w:ind w:left="0"/>
              <w:jc w:val="both"/>
              <w:rPr>
                <w:rFonts w:ascii="Times New Roman" w:hAnsi="Times New Roman" w:cs="Times New Roman"/>
                <w:sz w:val="25"/>
                <w:szCs w:val="25"/>
              </w:rPr>
            </w:pPr>
          </w:p>
          <w:p w14:paraId="16D5A991" w14:textId="77777777" w:rsidR="00A56E08" w:rsidRPr="000C72D2" w:rsidRDefault="00A56E08" w:rsidP="00A56E08">
            <w:pPr>
              <w:pStyle w:val="ListParagraph"/>
              <w:autoSpaceDE w:val="0"/>
              <w:autoSpaceDN w:val="0"/>
              <w:adjustRightInd w:val="0"/>
              <w:spacing w:before="40" w:after="40"/>
              <w:ind w:left="0"/>
              <w:jc w:val="both"/>
              <w:rPr>
                <w:rFonts w:ascii="Times New Roman" w:hAnsi="Times New Roman" w:cs="Times New Roman"/>
                <w:sz w:val="25"/>
                <w:szCs w:val="25"/>
              </w:rPr>
            </w:pPr>
          </w:p>
          <w:p w14:paraId="4EE333D3" w14:textId="3EF3EE1D" w:rsidR="003D20E5" w:rsidRPr="000C72D2" w:rsidRDefault="00A56E08" w:rsidP="00A56E08">
            <w:pPr>
              <w:autoSpaceDE w:val="0"/>
              <w:autoSpaceDN w:val="0"/>
              <w:adjustRightInd w:val="0"/>
              <w:spacing w:before="40" w:after="40"/>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 </w:t>
            </w:r>
            <w:r w:rsidR="003D20E5" w:rsidRPr="000C72D2">
              <w:rPr>
                <w:rFonts w:ascii="Times New Roman" w:hAnsi="Times New Roman" w:cs="Times New Roman"/>
                <w:sz w:val="25"/>
                <w:szCs w:val="25"/>
              </w:rPr>
              <w:t xml:space="preserve">Mức thù lao: </w:t>
            </w:r>
            <w:r w:rsidR="003D20E5" w:rsidRPr="000C72D2">
              <w:rPr>
                <w:rFonts w:ascii="Times New Roman" w:hAnsi="Times New Roman" w:cs="Times New Roman"/>
                <w:sz w:val="25"/>
                <w:szCs w:val="25"/>
                <w:lang w:val="vi-VN"/>
              </w:rPr>
              <w:t>Nội dung cơ bản kế thừa quy định của Nghị định 248/2025/NĐ-CP.</w:t>
            </w:r>
          </w:p>
          <w:p w14:paraId="7D480AE1"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r w:rsidRPr="000C72D2">
              <w:rPr>
                <w:rFonts w:ascii="Times New Roman" w:hAnsi="Times New Roman" w:cs="Times New Roman"/>
                <w:sz w:val="25"/>
                <w:szCs w:val="25"/>
                <w:lang w:val="vi-VN"/>
              </w:rPr>
              <w:t xml:space="preserve">Riêng tỷ lệ có tăng cao thêm 10% so với quy định tại Nghị định 248/2025/NĐ-CP </w:t>
            </w:r>
          </w:p>
          <w:p w14:paraId="2A5DE235" w14:textId="77777777" w:rsidR="00A56E08" w:rsidRPr="000C72D2" w:rsidRDefault="003D20E5" w:rsidP="00A56E08">
            <w:pPr>
              <w:autoSpaceDE w:val="0"/>
              <w:autoSpaceDN w:val="0"/>
              <w:adjustRightInd w:val="0"/>
              <w:spacing w:before="40" w:after="40"/>
              <w:jc w:val="both"/>
              <w:rPr>
                <w:rFonts w:ascii="Times New Roman" w:hAnsi="Times New Roman" w:cs="Times New Roman"/>
                <w:sz w:val="25"/>
                <w:szCs w:val="25"/>
              </w:rPr>
            </w:pPr>
            <w:r w:rsidRPr="000C72D2">
              <w:rPr>
                <w:rFonts w:ascii="Times New Roman" w:hAnsi="Times New Roman" w:cs="Times New Roman"/>
                <w:sz w:val="25"/>
                <w:szCs w:val="25"/>
                <w:lang w:val="vi-VN"/>
              </w:rPr>
              <w:t xml:space="preserve"> (quy định của Nghị định 248/2025/NĐ-CP là không quá 20%)</w:t>
            </w:r>
            <w:r w:rsidR="00A56E08" w:rsidRPr="000C72D2">
              <w:rPr>
                <w:rFonts w:ascii="Times New Roman" w:hAnsi="Times New Roman" w:cs="Times New Roman"/>
                <w:sz w:val="25"/>
                <w:szCs w:val="25"/>
              </w:rPr>
              <w:t>.</w:t>
            </w:r>
          </w:p>
          <w:p w14:paraId="7A5F079F" w14:textId="359EE5F1" w:rsidR="003D20E5" w:rsidRPr="000C72D2" w:rsidRDefault="00A56E08" w:rsidP="00A56E08">
            <w:pPr>
              <w:autoSpaceDE w:val="0"/>
              <w:autoSpaceDN w:val="0"/>
              <w:adjustRightInd w:val="0"/>
              <w:spacing w:before="40" w:after="40"/>
              <w:jc w:val="both"/>
              <w:rPr>
                <w:rFonts w:ascii="Times New Roman" w:hAnsi="Times New Roman" w:cs="Times New Roman"/>
                <w:sz w:val="25"/>
                <w:szCs w:val="25"/>
                <w:lang w:val="vi-VN"/>
              </w:rPr>
            </w:pPr>
            <w:r w:rsidRPr="000C72D2">
              <w:rPr>
                <w:rFonts w:ascii="Times New Roman" w:hAnsi="Times New Roman" w:cs="Times New Roman"/>
                <w:sz w:val="25"/>
                <w:szCs w:val="25"/>
              </w:rPr>
              <w:t xml:space="preserve">- </w:t>
            </w:r>
            <w:r w:rsidR="003D20E5" w:rsidRPr="000C72D2">
              <w:rPr>
                <w:rFonts w:ascii="Times New Roman" w:hAnsi="Times New Roman" w:cs="Times New Roman"/>
                <w:sz w:val="25"/>
                <w:szCs w:val="25"/>
              </w:rPr>
              <w:t xml:space="preserve">Thù lao của người đại diện phần vốn nhà nước tại doanh nghiêp do nhà nước nắm giữ dưới 50% vốn điều lệ: </w:t>
            </w:r>
            <w:r w:rsidR="003D20E5" w:rsidRPr="000C72D2">
              <w:rPr>
                <w:rFonts w:ascii="Times New Roman" w:hAnsi="Times New Roman" w:cs="Times New Roman"/>
                <w:sz w:val="25"/>
                <w:szCs w:val="25"/>
                <w:lang w:val="vi-VN"/>
              </w:rPr>
              <w:t>Nghị định 248/2025/NĐ-CP không quy định nội dung này, tuy nhiên căn cứ quá trình quản lý và thực tế phát sinh nên đề nghị bổ sung nội dung đối với người đại diện vốn nhà nước giữ dưới 50% vốn điều lệ</w:t>
            </w:r>
          </w:p>
          <w:p w14:paraId="2AB44A6F" w14:textId="77777777" w:rsidR="003D20E5" w:rsidRPr="000C72D2" w:rsidRDefault="003D20E5" w:rsidP="00A56E08">
            <w:pPr>
              <w:autoSpaceDE w:val="0"/>
              <w:autoSpaceDN w:val="0"/>
              <w:adjustRightInd w:val="0"/>
              <w:spacing w:before="40" w:after="40"/>
              <w:jc w:val="both"/>
              <w:rPr>
                <w:rFonts w:ascii="Times New Roman" w:hAnsi="Times New Roman" w:cs="Times New Roman"/>
                <w:sz w:val="25"/>
                <w:szCs w:val="25"/>
                <w:lang w:val="vi-VN"/>
              </w:rPr>
            </w:pPr>
          </w:p>
          <w:p w14:paraId="29337630" w14:textId="77777777" w:rsidR="00A56E08" w:rsidRPr="000C72D2" w:rsidRDefault="00A56E08" w:rsidP="00A56E08">
            <w:pPr>
              <w:pStyle w:val="ListParagraph"/>
              <w:ind w:left="36"/>
              <w:jc w:val="both"/>
              <w:rPr>
                <w:rFonts w:ascii="Times New Roman" w:hAnsi="Times New Roman" w:cs="Times New Roman"/>
                <w:sz w:val="25"/>
                <w:szCs w:val="25"/>
              </w:rPr>
            </w:pPr>
          </w:p>
          <w:p w14:paraId="497EFD62" w14:textId="77777777" w:rsidR="00A56E08" w:rsidRPr="000C72D2" w:rsidRDefault="00A56E08" w:rsidP="00A56E08">
            <w:pPr>
              <w:pStyle w:val="ListParagraph"/>
              <w:ind w:left="36"/>
              <w:jc w:val="both"/>
              <w:rPr>
                <w:rFonts w:ascii="Times New Roman" w:hAnsi="Times New Roman" w:cs="Times New Roman"/>
                <w:sz w:val="25"/>
                <w:szCs w:val="25"/>
              </w:rPr>
            </w:pPr>
          </w:p>
          <w:p w14:paraId="00BF82BE" w14:textId="42E6AB3D" w:rsidR="003D20E5" w:rsidRPr="000C72D2" w:rsidRDefault="00A56E08" w:rsidP="00A56E08">
            <w:pPr>
              <w:pStyle w:val="ListParagraph"/>
              <w:ind w:left="36"/>
              <w:jc w:val="both"/>
              <w:rPr>
                <w:rStyle w:val="Strong"/>
                <w:rFonts w:ascii="Times New Roman" w:hAnsi="Times New Roman" w:cs="Times New Roman"/>
                <w:b w:val="0"/>
                <w:bCs w:val="0"/>
                <w:sz w:val="25"/>
                <w:szCs w:val="25"/>
              </w:rPr>
            </w:pPr>
            <w:r w:rsidRPr="000C72D2">
              <w:rPr>
                <w:rFonts w:ascii="Times New Roman" w:hAnsi="Times New Roman" w:cs="Times New Roman"/>
                <w:sz w:val="25"/>
                <w:szCs w:val="25"/>
              </w:rPr>
              <w:t xml:space="preserve">- </w:t>
            </w:r>
            <w:r w:rsidR="003D20E5" w:rsidRPr="000C72D2">
              <w:rPr>
                <w:rFonts w:ascii="Times New Roman" w:hAnsi="Times New Roman" w:cs="Times New Roman"/>
                <w:sz w:val="25"/>
                <w:szCs w:val="25"/>
              </w:rPr>
              <w:t xml:space="preserve">Tiền thưởng: </w:t>
            </w:r>
            <w:r w:rsidR="003D20E5" w:rsidRPr="000C72D2">
              <w:rPr>
                <w:rFonts w:ascii="Times New Roman" w:hAnsi="Times New Roman" w:cs="Times New Roman"/>
                <w:sz w:val="25"/>
                <w:szCs w:val="25"/>
                <w:lang w:val="vi-VN"/>
              </w:rPr>
              <w:t>Nội dung này nhằm cụ thể hóa quy định về tiền thưởng vượt trội của Thành phố Hà Nội</w:t>
            </w:r>
          </w:p>
        </w:tc>
      </w:tr>
    </w:tbl>
    <w:p w14:paraId="3427E73E" w14:textId="77777777" w:rsidR="003F6930" w:rsidRPr="00E64833" w:rsidRDefault="003F6930" w:rsidP="002B1FEC">
      <w:pPr>
        <w:spacing w:before="40" w:after="40" w:line="240" w:lineRule="auto"/>
        <w:ind w:firstLine="720"/>
        <w:jc w:val="both"/>
        <w:rPr>
          <w:rFonts w:ascii="Times New Roman" w:hAnsi="Times New Roman" w:cs="Times New Roman"/>
          <w:lang w:val="vi-VN"/>
        </w:rPr>
      </w:pPr>
    </w:p>
    <w:p w14:paraId="76D4B61C" w14:textId="40E1DEAA" w:rsidR="00EA3B14" w:rsidRPr="00E64833" w:rsidRDefault="00EA3B14" w:rsidP="002B1FEC">
      <w:pPr>
        <w:spacing w:before="40" w:after="40" w:line="240" w:lineRule="auto"/>
        <w:ind w:firstLine="720"/>
        <w:jc w:val="both"/>
        <w:rPr>
          <w:rFonts w:ascii="Times New Roman" w:hAnsi="Times New Roman" w:cs="Times New Roman"/>
          <w:sz w:val="28"/>
          <w:szCs w:val="28"/>
        </w:rPr>
      </w:pPr>
      <w:r w:rsidRPr="00E64833">
        <w:rPr>
          <w:rFonts w:ascii="Times New Roman" w:hAnsi="Times New Roman" w:cs="Times New Roman"/>
          <w:sz w:val="28"/>
          <w:szCs w:val="28"/>
          <w:lang w:val="vi-VN"/>
        </w:rPr>
        <w:t>Ủy ban nhân dân Thành phố kính trình Hội đồng nhân dân Thành phố xem</w:t>
      </w:r>
      <w:r w:rsidR="002B1FEC" w:rsidRPr="00E64833">
        <w:rPr>
          <w:rFonts w:ascii="Times New Roman" w:hAnsi="Times New Roman" w:cs="Times New Roman"/>
          <w:sz w:val="28"/>
          <w:szCs w:val="28"/>
        </w:rPr>
        <w:t xml:space="preserve"> </w:t>
      </w:r>
      <w:r w:rsidRPr="00E64833">
        <w:rPr>
          <w:rFonts w:ascii="Times New Roman" w:hAnsi="Times New Roman" w:cs="Times New Roman"/>
          <w:sz w:val="28"/>
          <w:szCs w:val="28"/>
        </w:rPr>
        <w:t>xét, quyết định./.</w:t>
      </w:r>
    </w:p>
    <w:p w14:paraId="6A5AA9F9" w14:textId="77777777" w:rsidR="00490D37" w:rsidRPr="00E64833" w:rsidRDefault="00490D37" w:rsidP="00490D37">
      <w:pPr>
        <w:spacing w:after="0" w:line="240" w:lineRule="auto"/>
        <w:jc w:val="both"/>
        <w:rPr>
          <w:rFonts w:ascii="Times New Roman" w:hAnsi="Times New Roman" w:cs="Times New Roman"/>
          <w:sz w:val="28"/>
          <w:szCs w:val="28"/>
        </w:rPr>
      </w:pPr>
    </w:p>
    <w:sectPr w:rsidR="00490D37" w:rsidRPr="00E64833" w:rsidSect="00691DD3">
      <w:headerReference w:type="default" r:id="rId8"/>
      <w:pgSz w:w="16840" w:h="11907" w:orient="landscape" w:code="9"/>
      <w:pgMar w:top="567" w:right="1134" w:bottom="709" w:left="113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A03E" w14:textId="77777777" w:rsidR="00EC2AF8" w:rsidRDefault="00EC2AF8" w:rsidP="00D16497">
      <w:pPr>
        <w:spacing w:after="0" w:line="240" w:lineRule="auto"/>
      </w:pPr>
      <w:r>
        <w:separator/>
      </w:r>
    </w:p>
  </w:endnote>
  <w:endnote w:type="continuationSeparator" w:id="0">
    <w:p w14:paraId="4FF8788F" w14:textId="77777777" w:rsidR="00EC2AF8" w:rsidRDefault="00EC2AF8" w:rsidP="00D1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21A3" w14:textId="77777777" w:rsidR="00EC2AF8" w:rsidRDefault="00EC2AF8" w:rsidP="00D16497">
      <w:pPr>
        <w:spacing w:after="0" w:line="240" w:lineRule="auto"/>
      </w:pPr>
      <w:r>
        <w:separator/>
      </w:r>
    </w:p>
  </w:footnote>
  <w:footnote w:type="continuationSeparator" w:id="0">
    <w:p w14:paraId="3BAF32EF" w14:textId="77777777" w:rsidR="00EC2AF8" w:rsidRDefault="00EC2AF8" w:rsidP="00D1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13093"/>
      <w:docPartObj>
        <w:docPartGallery w:val="Page Numbers (Top of Page)"/>
        <w:docPartUnique/>
      </w:docPartObj>
    </w:sdtPr>
    <w:sdtEndPr>
      <w:rPr>
        <w:rFonts w:ascii="Times New Roman" w:hAnsi="Times New Roman" w:cs="Times New Roman"/>
        <w:noProof/>
        <w:sz w:val="24"/>
        <w:szCs w:val="24"/>
      </w:rPr>
    </w:sdtEndPr>
    <w:sdtContent>
      <w:p w14:paraId="1CEF09DD" w14:textId="3B456E8B" w:rsidR="00D16497" w:rsidRPr="00301AB3" w:rsidRDefault="00D16497">
        <w:pPr>
          <w:pStyle w:val="Header"/>
          <w:jc w:val="center"/>
          <w:rPr>
            <w:rFonts w:ascii="Times New Roman" w:hAnsi="Times New Roman" w:cs="Times New Roman"/>
            <w:sz w:val="24"/>
            <w:szCs w:val="24"/>
          </w:rPr>
        </w:pPr>
        <w:r w:rsidRPr="00301AB3">
          <w:rPr>
            <w:rFonts w:ascii="Times New Roman" w:hAnsi="Times New Roman" w:cs="Times New Roman"/>
            <w:sz w:val="24"/>
            <w:szCs w:val="24"/>
          </w:rPr>
          <w:fldChar w:fldCharType="begin"/>
        </w:r>
        <w:r w:rsidRPr="00301AB3">
          <w:rPr>
            <w:rFonts w:ascii="Times New Roman" w:hAnsi="Times New Roman" w:cs="Times New Roman"/>
            <w:sz w:val="24"/>
            <w:szCs w:val="24"/>
          </w:rPr>
          <w:instrText xml:space="preserve"> PAGE   \* MERGEFORMAT </w:instrText>
        </w:r>
        <w:r w:rsidRPr="00301AB3">
          <w:rPr>
            <w:rFonts w:ascii="Times New Roman" w:hAnsi="Times New Roman" w:cs="Times New Roman"/>
            <w:sz w:val="24"/>
            <w:szCs w:val="24"/>
          </w:rPr>
          <w:fldChar w:fldCharType="separate"/>
        </w:r>
        <w:r w:rsidR="00A67AA8">
          <w:rPr>
            <w:rFonts w:ascii="Times New Roman" w:hAnsi="Times New Roman" w:cs="Times New Roman"/>
            <w:noProof/>
            <w:sz w:val="24"/>
            <w:szCs w:val="24"/>
          </w:rPr>
          <w:t>11</w:t>
        </w:r>
        <w:r w:rsidRPr="00301AB3">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upperRoman"/>
      <w:suff w:val="space"/>
      <w:lvlText w:val="%1."/>
      <w:lvlJc w:val="left"/>
      <w:pPr>
        <w:tabs>
          <w:tab w:val="num" w:pos="0"/>
        </w:tabs>
        <w:ind w:left="0" w:firstLine="567"/>
      </w:pPr>
    </w:lvl>
    <w:lvl w:ilvl="1">
      <w:start w:val="1"/>
      <w:numFmt w:val="decimal"/>
      <w:lvlText w:val="%2."/>
      <w:lvlJc w:val="left"/>
      <w:pPr>
        <w:tabs>
          <w:tab w:val="num" w:pos="0"/>
        </w:tabs>
        <w:ind w:left="2517" w:hanging="360"/>
      </w:pPr>
    </w:lvl>
    <w:lvl w:ilvl="2">
      <w:start w:val="1"/>
      <w:numFmt w:val="lowerRoman"/>
      <w:lvlText w:val="%3."/>
      <w:lvlJc w:val="right"/>
      <w:pPr>
        <w:tabs>
          <w:tab w:val="num" w:pos="0"/>
        </w:tabs>
        <w:ind w:left="3237" w:hanging="180"/>
      </w:pPr>
    </w:lvl>
    <w:lvl w:ilvl="3">
      <w:start w:val="1"/>
      <w:numFmt w:val="decimal"/>
      <w:lvlText w:val="%4."/>
      <w:lvlJc w:val="left"/>
      <w:pPr>
        <w:tabs>
          <w:tab w:val="num" w:pos="0"/>
        </w:tabs>
        <w:ind w:left="3957" w:hanging="360"/>
      </w:pPr>
    </w:lvl>
    <w:lvl w:ilvl="4">
      <w:start w:val="1"/>
      <w:numFmt w:val="lowerLetter"/>
      <w:lvlText w:val="%5."/>
      <w:lvlJc w:val="left"/>
      <w:pPr>
        <w:tabs>
          <w:tab w:val="num" w:pos="0"/>
        </w:tabs>
        <w:ind w:left="4677" w:hanging="360"/>
      </w:pPr>
    </w:lvl>
    <w:lvl w:ilvl="5">
      <w:start w:val="1"/>
      <w:numFmt w:val="lowerRoman"/>
      <w:lvlText w:val="%6."/>
      <w:lvlJc w:val="right"/>
      <w:pPr>
        <w:tabs>
          <w:tab w:val="num" w:pos="0"/>
        </w:tabs>
        <w:ind w:left="5397" w:hanging="180"/>
      </w:pPr>
    </w:lvl>
    <w:lvl w:ilvl="6">
      <w:start w:val="1"/>
      <w:numFmt w:val="decimal"/>
      <w:lvlText w:val="%7."/>
      <w:lvlJc w:val="left"/>
      <w:pPr>
        <w:tabs>
          <w:tab w:val="num" w:pos="0"/>
        </w:tabs>
        <w:ind w:left="6117" w:hanging="360"/>
      </w:pPr>
    </w:lvl>
    <w:lvl w:ilvl="7">
      <w:start w:val="1"/>
      <w:numFmt w:val="lowerLetter"/>
      <w:lvlText w:val="%8."/>
      <w:lvlJc w:val="left"/>
      <w:pPr>
        <w:tabs>
          <w:tab w:val="num" w:pos="0"/>
        </w:tabs>
        <w:ind w:left="6837" w:hanging="360"/>
      </w:pPr>
    </w:lvl>
    <w:lvl w:ilvl="8">
      <w:start w:val="1"/>
      <w:numFmt w:val="lowerRoman"/>
      <w:lvlText w:val="%9."/>
      <w:lvlJc w:val="right"/>
      <w:pPr>
        <w:tabs>
          <w:tab w:val="num" w:pos="0"/>
        </w:tabs>
        <w:ind w:left="7557" w:hanging="180"/>
      </w:pPr>
    </w:lvl>
  </w:abstractNum>
  <w:abstractNum w:abstractNumId="1" w15:restartNumberingAfterBreak="0">
    <w:nsid w:val="00000002"/>
    <w:multiLevelType w:val="multilevel"/>
    <w:tmpl w:val="ACE6A74C"/>
    <w:name w:val="WWNum8"/>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8"/>
    <w:multiLevelType w:val="multilevel"/>
    <w:tmpl w:val="00000008"/>
    <w:name w:val="WWNum1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Letter"/>
      <w:suff w:val="space"/>
      <w:lvlText w:val="%3)"/>
      <w:lvlJc w:val="left"/>
      <w:pPr>
        <w:tabs>
          <w:tab w:val="num" w:pos="0"/>
        </w:tabs>
        <w:ind w:left="0" w:firstLine="737"/>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000001A"/>
    <w:multiLevelType w:val="multilevel"/>
    <w:tmpl w:val="BF466DA2"/>
    <w:name w:val="WWNum32"/>
    <w:lvl w:ilvl="0">
      <w:start w:val="1"/>
      <w:numFmt w:val="bullet"/>
      <w:suff w:val="space"/>
      <w:lvlText w:val="-"/>
      <w:lvlJc w:val="left"/>
      <w:pPr>
        <w:ind w:left="0" w:firstLine="737"/>
      </w:pPr>
      <w:rPr>
        <w:rFonts w:ascii="Times New Roman" w:hAnsi="Times New Roman" w:cs="Times New Roman" w:hint="default"/>
        <w:b/>
        <w:sz w:val="28"/>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hint="default"/>
      </w:rPr>
    </w:lvl>
    <w:lvl w:ilvl="3">
      <w:start w:val="1"/>
      <w:numFmt w:val="bullet"/>
      <w:lvlText w:val=""/>
      <w:lvlJc w:val="left"/>
      <w:pPr>
        <w:tabs>
          <w:tab w:val="num" w:pos="0"/>
        </w:tabs>
        <w:ind w:left="3087" w:hanging="360"/>
      </w:pPr>
      <w:rPr>
        <w:rFonts w:ascii="Symbol" w:hAnsi="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hint="default"/>
      </w:rPr>
    </w:lvl>
    <w:lvl w:ilvl="6">
      <w:start w:val="1"/>
      <w:numFmt w:val="bullet"/>
      <w:lvlText w:val=""/>
      <w:lvlJc w:val="left"/>
      <w:pPr>
        <w:tabs>
          <w:tab w:val="num" w:pos="0"/>
        </w:tabs>
        <w:ind w:left="5247" w:hanging="360"/>
      </w:pPr>
      <w:rPr>
        <w:rFonts w:ascii="Symbol" w:hAnsi="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hint="default"/>
      </w:rPr>
    </w:lvl>
  </w:abstractNum>
  <w:abstractNum w:abstractNumId="4" w15:restartNumberingAfterBreak="0">
    <w:nsid w:val="0000001D"/>
    <w:multiLevelType w:val="multilevel"/>
    <w:tmpl w:val="0000001D"/>
    <w:name w:val="WWNum35"/>
    <w:lvl w:ilvl="0">
      <w:start w:val="1"/>
      <w:numFmt w:val="bullet"/>
      <w:suff w:val="space"/>
      <w:lvlText w:val="-"/>
      <w:lvlJc w:val="left"/>
      <w:pPr>
        <w:tabs>
          <w:tab w:val="num" w:pos="0"/>
        </w:tabs>
        <w:ind w:left="0" w:firstLine="737"/>
      </w:pPr>
      <w:rPr>
        <w:rFonts w:ascii="Times New Roman" w:hAnsi="Times New Roman" w:cs="Times New Roman"/>
        <w:b/>
        <w:sz w:val="28"/>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5" w15:restartNumberingAfterBreak="0">
    <w:nsid w:val="04B305C4"/>
    <w:multiLevelType w:val="multilevel"/>
    <w:tmpl w:val="A4A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74D"/>
    <w:multiLevelType w:val="hybridMultilevel"/>
    <w:tmpl w:val="434C4F5E"/>
    <w:lvl w:ilvl="0" w:tplc="B10A4B7C">
      <w:start w:val="1"/>
      <w:numFmt w:val="bullet"/>
      <w:suff w:val="space"/>
      <w:lvlText w:val=""/>
      <w:lvlJc w:val="left"/>
      <w:pPr>
        <w:ind w:left="0" w:firstLine="927"/>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C735921"/>
    <w:multiLevelType w:val="hybridMultilevel"/>
    <w:tmpl w:val="0B44A91C"/>
    <w:lvl w:ilvl="0" w:tplc="F9CE0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F540E"/>
    <w:multiLevelType w:val="multilevel"/>
    <w:tmpl w:val="C3D67908"/>
    <w:lvl w:ilvl="0">
      <w:start w:val="1"/>
      <w:numFmt w:val="lowerLetter"/>
      <w:suff w:val="space"/>
      <w:lvlText w:val="%1)"/>
      <w:lvlJc w:val="left"/>
      <w:pPr>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E190A76"/>
    <w:multiLevelType w:val="multilevel"/>
    <w:tmpl w:val="00000001"/>
    <w:lvl w:ilvl="0">
      <w:start w:val="1"/>
      <w:numFmt w:val="upperRoman"/>
      <w:suff w:val="space"/>
      <w:lvlText w:val="%1."/>
      <w:lvlJc w:val="left"/>
      <w:pPr>
        <w:tabs>
          <w:tab w:val="num" w:pos="0"/>
        </w:tabs>
        <w:ind w:left="0" w:firstLine="567"/>
      </w:pPr>
    </w:lvl>
    <w:lvl w:ilvl="1">
      <w:start w:val="1"/>
      <w:numFmt w:val="decimal"/>
      <w:lvlText w:val="%2."/>
      <w:lvlJc w:val="left"/>
      <w:pPr>
        <w:tabs>
          <w:tab w:val="num" w:pos="0"/>
        </w:tabs>
        <w:ind w:left="2517" w:hanging="360"/>
      </w:pPr>
    </w:lvl>
    <w:lvl w:ilvl="2">
      <w:start w:val="1"/>
      <w:numFmt w:val="lowerRoman"/>
      <w:lvlText w:val="%3."/>
      <w:lvlJc w:val="right"/>
      <w:pPr>
        <w:tabs>
          <w:tab w:val="num" w:pos="0"/>
        </w:tabs>
        <w:ind w:left="3237" w:hanging="180"/>
      </w:pPr>
    </w:lvl>
    <w:lvl w:ilvl="3">
      <w:start w:val="1"/>
      <w:numFmt w:val="decimal"/>
      <w:lvlText w:val="%4."/>
      <w:lvlJc w:val="left"/>
      <w:pPr>
        <w:tabs>
          <w:tab w:val="num" w:pos="0"/>
        </w:tabs>
        <w:ind w:left="3957" w:hanging="360"/>
      </w:pPr>
    </w:lvl>
    <w:lvl w:ilvl="4">
      <w:start w:val="1"/>
      <w:numFmt w:val="lowerLetter"/>
      <w:lvlText w:val="%5."/>
      <w:lvlJc w:val="left"/>
      <w:pPr>
        <w:tabs>
          <w:tab w:val="num" w:pos="0"/>
        </w:tabs>
        <w:ind w:left="4677" w:hanging="360"/>
      </w:pPr>
    </w:lvl>
    <w:lvl w:ilvl="5">
      <w:start w:val="1"/>
      <w:numFmt w:val="lowerRoman"/>
      <w:lvlText w:val="%6."/>
      <w:lvlJc w:val="right"/>
      <w:pPr>
        <w:tabs>
          <w:tab w:val="num" w:pos="0"/>
        </w:tabs>
        <w:ind w:left="5397" w:hanging="180"/>
      </w:pPr>
    </w:lvl>
    <w:lvl w:ilvl="6">
      <w:start w:val="1"/>
      <w:numFmt w:val="decimal"/>
      <w:lvlText w:val="%7."/>
      <w:lvlJc w:val="left"/>
      <w:pPr>
        <w:tabs>
          <w:tab w:val="num" w:pos="0"/>
        </w:tabs>
        <w:ind w:left="6117" w:hanging="360"/>
      </w:pPr>
    </w:lvl>
    <w:lvl w:ilvl="7">
      <w:start w:val="1"/>
      <w:numFmt w:val="lowerLetter"/>
      <w:lvlText w:val="%8."/>
      <w:lvlJc w:val="left"/>
      <w:pPr>
        <w:tabs>
          <w:tab w:val="num" w:pos="0"/>
        </w:tabs>
        <w:ind w:left="6837" w:hanging="360"/>
      </w:pPr>
    </w:lvl>
    <w:lvl w:ilvl="8">
      <w:start w:val="1"/>
      <w:numFmt w:val="lowerRoman"/>
      <w:lvlText w:val="%9."/>
      <w:lvlJc w:val="right"/>
      <w:pPr>
        <w:tabs>
          <w:tab w:val="num" w:pos="0"/>
        </w:tabs>
        <w:ind w:left="7557" w:hanging="180"/>
      </w:pPr>
    </w:lvl>
  </w:abstractNum>
  <w:abstractNum w:abstractNumId="10" w15:restartNumberingAfterBreak="0">
    <w:nsid w:val="10F126F3"/>
    <w:multiLevelType w:val="multilevel"/>
    <w:tmpl w:val="ACE6A74C"/>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2A7512D"/>
    <w:multiLevelType w:val="multilevel"/>
    <w:tmpl w:val="D34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83F6B"/>
    <w:multiLevelType w:val="multilevel"/>
    <w:tmpl w:val="4D1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13B26"/>
    <w:multiLevelType w:val="multilevel"/>
    <w:tmpl w:val="ACE6A74C"/>
    <w:styleLink w:val="Style1"/>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0784996"/>
    <w:multiLevelType w:val="multilevel"/>
    <w:tmpl w:val="66180DFE"/>
    <w:lvl w:ilvl="0">
      <w:start w:val="1"/>
      <w:numFmt w:val="lowerLetter"/>
      <w:suff w:val="space"/>
      <w:lvlText w:val="%1)"/>
      <w:lvlJc w:val="left"/>
      <w:pPr>
        <w:ind w:left="0" w:firstLine="567"/>
      </w:pPr>
      <w:rPr>
        <w:rFonts w:hint="default"/>
      </w:rPr>
    </w:lvl>
    <w:lvl w:ilvl="1">
      <w:start w:val="1"/>
      <w:numFmt w:val="decimal"/>
      <w:lvlText w:val="%2."/>
      <w:lvlJc w:val="left"/>
      <w:pPr>
        <w:tabs>
          <w:tab w:val="num" w:pos="0"/>
        </w:tabs>
        <w:ind w:left="2517" w:hanging="360"/>
      </w:pPr>
      <w:rPr>
        <w:rFonts w:hint="default"/>
      </w:rPr>
    </w:lvl>
    <w:lvl w:ilvl="2">
      <w:start w:val="1"/>
      <w:numFmt w:val="lowerRoman"/>
      <w:lvlText w:val="%3."/>
      <w:lvlJc w:val="right"/>
      <w:pPr>
        <w:tabs>
          <w:tab w:val="num" w:pos="0"/>
        </w:tabs>
        <w:ind w:left="3237" w:hanging="180"/>
      </w:pPr>
      <w:rPr>
        <w:rFonts w:hint="default"/>
      </w:rPr>
    </w:lvl>
    <w:lvl w:ilvl="3">
      <w:start w:val="1"/>
      <w:numFmt w:val="decimal"/>
      <w:lvlText w:val="%4."/>
      <w:lvlJc w:val="left"/>
      <w:pPr>
        <w:tabs>
          <w:tab w:val="num" w:pos="0"/>
        </w:tabs>
        <w:ind w:left="3957" w:hanging="360"/>
      </w:pPr>
      <w:rPr>
        <w:rFonts w:hint="default"/>
      </w:rPr>
    </w:lvl>
    <w:lvl w:ilvl="4">
      <w:start w:val="1"/>
      <w:numFmt w:val="lowerLetter"/>
      <w:lvlText w:val="%5."/>
      <w:lvlJc w:val="left"/>
      <w:pPr>
        <w:tabs>
          <w:tab w:val="num" w:pos="0"/>
        </w:tabs>
        <w:ind w:left="4677" w:hanging="360"/>
      </w:pPr>
      <w:rPr>
        <w:rFonts w:hint="default"/>
      </w:rPr>
    </w:lvl>
    <w:lvl w:ilvl="5">
      <w:start w:val="1"/>
      <w:numFmt w:val="lowerRoman"/>
      <w:lvlText w:val="%6."/>
      <w:lvlJc w:val="right"/>
      <w:pPr>
        <w:tabs>
          <w:tab w:val="num" w:pos="0"/>
        </w:tabs>
        <w:ind w:left="5397" w:hanging="180"/>
      </w:pPr>
      <w:rPr>
        <w:rFonts w:hint="default"/>
      </w:rPr>
    </w:lvl>
    <w:lvl w:ilvl="6">
      <w:start w:val="1"/>
      <w:numFmt w:val="decimal"/>
      <w:lvlText w:val="%7."/>
      <w:lvlJc w:val="left"/>
      <w:pPr>
        <w:tabs>
          <w:tab w:val="num" w:pos="0"/>
        </w:tabs>
        <w:ind w:left="6117" w:hanging="360"/>
      </w:pPr>
      <w:rPr>
        <w:rFonts w:hint="default"/>
      </w:rPr>
    </w:lvl>
    <w:lvl w:ilvl="7">
      <w:start w:val="1"/>
      <w:numFmt w:val="lowerLetter"/>
      <w:lvlText w:val="%8."/>
      <w:lvlJc w:val="left"/>
      <w:pPr>
        <w:tabs>
          <w:tab w:val="num" w:pos="0"/>
        </w:tabs>
        <w:ind w:left="6837" w:hanging="360"/>
      </w:pPr>
      <w:rPr>
        <w:rFonts w:hint="default"/>
      </w:rPr>
    </w:lvl>
    <w:lvl w:ilvl="8">
      <w:start w:val="1"/>
      <w:numFmt w:val="lowerRoman"/>
      <w:lvlText w:val="%9."/>
      <w:lvlJc w:val="right"/>
      <w:pPr>
        <w:tabs>
          <w:tab w:val="num" w:pos="0"/>
        </w:tabs>
        <w:ind w:left="7557" w:hanging="180"/>
      </w:pPr>
      <w:rPr>
        <w:rFonts w:hint="default"/>
      </w:rPr>
    </w:lvl>
  </w:abstractNum>
  <w:abstractNum w:abstractNumId="15" w15:restartNumberingAfterBreak="0">
    <w:nsid w:val="22B703BA"/>
    <w:multiLevelType w:val="multilevel"/>
    <w:tmpl w:val="668C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7599A"/>
    <w:multiLevelType w:val="hybridMultilevel"/>
    <w:tmpl w:val="5E66DD00"/>
    <w:lvl w:ilvl="0" w:tplc="170800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CD7A11"/>
    <w:multiLevelType w:val="multilevel"/>
    <w:tmpl w:val="6A0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74DC2"/>
    <w:multiLevelType w:val="hybridMultilevel"/>
    <w:tmpl w:val="C3869624"/>
    <w:lvl w:ilvl="0" w:tplc="D3A01D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580BF3"/>
    <w:multiLevelType w:val="hybridMultilevel"/>
    <w:tmpl w:val="03483F7C"/>
    <w:lvl w:ilvl="0" w:tplc="9F761292">
      <w:start w:val="1"/>
      <w:numFmt w:val="decimal"/>
      <w:suff w:val="space"/>
      <w:lvlText w:val="%1."/>
      <w:lvlJc w:val="left"/>
      <w:pPr>
        <w:ind w:left="0" w:firstLine="1494"/>
      </w:pPr>
      <w:rPr>
        <w:rFonts w:eastAsia="Aptos" w:cs="Times New Roman" w:hint="default"/>
      </w:rPr>
    </w:lvl>
    <w:lvl w:ilvl="1" w:tplc="FFFAA666">
      <w:start w:val="1"/>
      <w:numFmt w:val="lowerLetter"/>
      <w:suff w:val="space"/>
      <w:lvlText w:val="%2)"/>
      <w:lvlJc w:val="left"/>
      <w:pPr>
        <w:ind w:left="0" w:firstLine="1287"/>
      </w:pPr>
      <w:rPr>
        <w:rFonts w:hint="default"/>
      </w:rPr>
    </w:lvl>
    <w:lvl w:ilvl="2" w:tplc="4AF4D852">
      <w:start w:val="1"/>
      <w:numFmt w:val="bullet"/>
      <w:lvlText w:val=""/>
      <w:lvlJc w:val="left"/>
      <w:pPr>
        <w:ind w:left="2367" w:hanging="180"/>
      </w:pPr>
      <w:rPr>
        <w:rFonts w:ascii="Symbol" w:hAnsi="Symbol" w:hint="default"/>
      </w:rPr>
    </w:lvl>
    <w:lvl w:ilvl="3" w:tplc="11E03476">
      <w:start w:val="1"/>
      <w:numFmt w:val="bullet"/>
      <w:suff w:val="space"/>
      <w:lvlText w:val="-"/>
      <w:lvlJc w:val="left"/>
      <w:pPr>
        <w:ind w:left="0" w:firstLine="2727"/>
      </w:pPr>
      <w:rPr>
        <w:rFonts w:ascii="Times New Roman" w:eastAsiaTheme="minorHAnsi" w:hAnsi="Times New Roman" w:cs="Times New Roman" w:hint="default"/>
      </w:r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2FE7628A"/>
    <w:multiLevelType w:val="multilevel"/>
    <w:tmpl w:val="00000008"/>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Letter"/>
      <w:suff w:val="space"/>
      <w:lvlText w:val="%3)"/>
      <w:lvlJc w:val="left"/>
      <w:pPr>
        <w:tabs>
          <w:tab w:val="num" w:pos="0"/>
        </w:tabs>
        <w:ind w:left="0" w:firstLine="737"/>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1" w15:restartNumberingAfterBreak="0">
    <w:nsid w:val="32EF28A0"/>
    <w:multiLevelType w:val="hybridMultilevel"/>
    <w:tmpl w:val="A620BB4A"/>
    <w:lvl w:ilvl="0" w:tplc="E84C52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E8A83CCA">
      <w:start w:val="2"/>
      <w:numFmt w:val="bullet"/>
      <w:suff w:val="space"/>
      <w:lvlText w:val="-"/>
      <w:lvlJc w:val="left"/>
      <w:pPr>
        <w:ind w:left="0" w:firstLine="927"/>
      </w:pPr>
      <w:rPr>
        <w:rFonts w:ascii="Times New Roman" w:eastAsiaTheme="minorHAnsi" w:hAnsi="Times New Roman" w:cs="Times New Roman"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3F25C3"/>
    <w:multiLevelType w:val="hybridMultilevel"/>
    <w:tmpl w:val="E6DE614E"/>
    <w:lvl w:ilvl="0" w:tplc="ED1A8FFE">
      <w:start w:val="2"/>
      <w:numFmt w:val="bullet"/>
      <w:suff w:val="space"/>
      <w:lvlText w:val="-"/>
      <w:lvlJc w:val="left"/>
      <w:pPr>
        <w:ind w:left="0" w:firstLine="927"/>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57D40FE"/>
    <w:multiLevelType w:val="multilevel"/>
    <w:tmpl w:val="075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B191D"/>
    <w:multiLevelType w:val="multilevel"/>
    <w:tmpl w:val="00000008"/>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Letter"/>
      <w:suff w:val="space"/>
      <w:lvlText w:val="%3)"/>
      <w:lvlJc w:val="left"/>
      <w:pPr>
        <w:tabs>
          <w:tab w:val="num" w:pos="0"/>
        </w:tabs>
        <w:ind w:left="0" w:firstLine="737"/>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5" w15:restartNumberingAfterBreak="0">
    <w:nsid w:val="389861AB"/>
    <w:multiLevelType w:val="multilevel"/>
    <w:tmpl w:val="68B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03AE2"/>
    <w:multiLevelType w:val="multilevel"/>
    <w:tmpl w:val="4184DB6E"/>
    <w:lvl w:ilvl="0">
      <w:start w:val="1"/>
      <w:numFmt w:val="lowerLetter"/>
      <w:suff w:val="space"/>
      <w:lvlText w:val="%1)"/>
      <w:lvlJc w:val="left"/>
      <w:pPr>
        <w:ind w:left="0" w:firstLine="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C1071BA"/>
    <w:multiLevelType w:val="multilevel"/>
    <w:tmpl w:val="99C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3610F"/>
    <w:multiLevelType w:val="hybridMultilevel"/>
    <w:tmpl w:val="A45CFF84"/>
    <w:lvl w:ilvl="0" w:tplc="9FFC0024">
      <w:start w:val="1"/>
      <w:numFmt w:val="decimal"/>
      <w:suff w:val="space"/>
      <w:lvlText w:val="%1."/>
      <w:lvlJc w:val="left"/>
      <w:pPr>
        <w:ind w:left="0" w:firstLine="567"/>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46056444"/>
    <w:multiLevelType w:val="multilevel"/>
    <w:tmpl w:val="5F9C6214"/>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21FA9"/>
    <w:multiLevelType w:val="hybridMultilevel"/>
    <w:tmpl w:val="9AD0C2FC"/>
    <w:lvl w:ilvl="0" w:tplc="E84C52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DC57D8"/>
    <w:multiLevelType w:val="multilevel"/>
    <w:tmpl w:val="68E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197581"/>
    <w:multiLevelType w:val="hybridMultilevel"/>
    <w:tmpl w:val="73F894C8"/>
    <w:lvl w:ilvl="0" w:tplc="F03011C0">
      <w:start w:val="1"/>
      <w:numFmt w:val="decimal"/>
      <w:suff w:val="space"/>
      <w:lvlText w:val="%1."/>
      <w:lvlJc w:val="left"/>
      <w:pPr>
        <w:ind w:left="0" w:firstLine="567"/>
      </w:pPr>
      <w:rPr>
        <w:rFonts w:hint="default"/>
        <w:b w:val="0"/>
        <w:bC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3" w15:restartNumberingAfterBreak="0">
    <w:nsid w:val="55FA300D"/>
    <w:multiLevelType w:val="multilevel"/>
    <w:tmpl w:val="212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E011B"/>
    <w:multiLevelType w:val="multilevel"/>
    <w:tmpl w:val="ACE6A74C"/>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E1629B7"/>
    <w:multiLevelType w:val="multilevel"/>
    <w:tmpl w:val="CF442114"/>
    <w:lvl w:ilvl="0">
      <w:start w:val="1"/>
      <w:numFmt w:val="decimal"/>
      <w:suff w:val="space"/>
      <w:lvlText w:val="%1."/>
      <w:lvlJc w:val="left"/>
      <w:pPr>
        <w:ind w:left="0" w:firstLine="737"/>
      </w:pPr>
      <w:rPr>
        <w:rFonts w:hint="default"/>
        <w:b/>
        <w:bCs/>
      </w:rPr>
    </w:lvl>
    <w:lvl w:ilvl="1">
      <w:start w:val="1"/>
      <w:numFmt w:val="decimal"/>
      <w:suff w:val="space"/>
      <w:lvlText w:val="%1.%2."/>
      <w:lvlJc w:val="left"/>
      <w:pPr>
        <w:ind w:left="0" w:firstLine="360"/>
      </w:pPr>
      <w:rPr>
        <w:rFonts w:hint="default"/>
        <w:b/>
        <w:bCs/>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E7E5E1B"/>
    <w:multiLevelType w:val="multilevel"/>
    <w:tmpl w:val="1E86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246CF6"/>
    <w:multiLevelType w:val="hybridMultilevel"/>
    <w:tmpl w:val="260C043E"/>
    <w:lvl w:ilvl="0" w:tplc="96FEFAD4">
      <w:start w:val="4"/>
      <w:numFmt w:val="bullet"/>
      <w:suff w:val="space"/>
      <w:lvlText w:val="-"/>
      <w:lvlJc w:val="left"/>
      <w:pPr>
        <w:ind w:left="0" w:firstLine="360"/>
      </w:pPr>
      <w:rPr>
        <w:rFonts w:ascii="Calibri" w:eastAsiaTheme="minorHAnsi" w:hAnsi="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612F1B13"/>
    <w:multiLevelType w:val="multilevel"/>
    <w:tmpl w:val="A85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E72DFF"/>
    <w:multiLevelType w:val="hybridMultilevel"/>
    <w:tmpl w:val="A48062A0"/>
    <w:lvl w:ilvl="0" w:tplc="5D8AEFD0">
      <w:start w:val="2"/>
      <w:numFmt w:val="bullet"/>
      <w:suff w:val="space"/>
      <w:lvlText w:val="-"/>
      <w:lvlJc w:val="left"/>
      <w:pPr>
        <w:ind w:left="0" w:firstLine="927"/>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11DD7"/>
    <w:multiLevelType w:val="multilevel"/>
    <w:tmpl w:val="F3F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D7284A"/>
    <w:multiLevelType w:val="multilevel"/>
    <w:tmpl w:val="A77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7217CC"/>
    <w:multiLevelType w:val="multilevel"/>
    <w:tmpl w:val="361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B35F9"/>
    <w:multiLevelType w:val="hybridMultilevel"/>
    <w:tmpl w:val="C414AEEC"/>
    <w:lvl w:ilvl="0" w:tplc="E84C523C">
      <w:start w:val="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6FEF03E8"/>
    <w:multiLevelType w:val="hybridMultilevel"/>
    <w:tmpl w:val="AA449D80"/>
    <w:name w:val="WWNum322"/>
    <w:lvl w:ilvl="0" w:tplc="BD247FBA">
      <w:start w:val="1"/>
      <w:numFmt w:val="lowerLetter"/>
      <w:suff w:val="space"/>
      <w:lvlText w:val="%1)"/>
      <w:lvlJc w:val="left"/>
      <w:pPr>
        <w:ind w:left="0" w:firstLine="106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702C1C89"/>
    <w:multiLevelType w:val="multilevel"/>
    <w:tmpl w:val="E6E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532928"/>
    <w:multiLevelType w:val="hybridMultilevel"/>
    <w:tmpl w:val="584E2F9C"/>
    <w:lvl w:ilvl="0" w:tplc="C7709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AE046B6"/>
    <w:multiLevelType w:val="hybridMultilevel"/>
    <w:tmpl w:val="07DCE808"/>
    <w:lvl w:ilvl="0" w:tplc="EFECCC60">
      <w:start w:val="1"/>
      <w:numFmt w:val="lowerLetter"/>
      <w:suff w:val="space"/>
      <w:lvlText w:val="%1)"/>
      <w:lvlJc w:val="left"/>
      <w:pPr>
        <w:ind w:left="0" w:firstLine="92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7F71775E"/>
    <w:multiLevelType w:val="hybridMultilevel"/>
    <w:tmpl w:val="3CBA2388"/>
    <w:name w:val="WWNum3222"/>
    <w:lvl w:ilvl="0" w:tplc="E84C5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38"/>
  </w:num>
  <w:num w:numId="4">
    <w:abstractNumId w:val="23"/>
  </w:num>
  <w:num w:numId="5">
    <w:abstractNumId w:val="25"/>
  </w:num>
  <w:num w:numId="6">
    <w:abstractNumId w:val="41"/>
  </w:num>
  <w:num w:numId="7">
    <w:abstractNumId w:val="16"/>
  </w:num>
  <w:num w:numId="8">
    <w:abstractNumId w:val="40"/>
  </w:num>
  <w:num w:numId="9">
    <w:abstractNumId w:val="27"/>
  </w:num>
  <w:num w:numId="10">
    <w:abstractNumId w:val="45"/>
  </w:num>
  <w:num w:numId="11">
    <w:abstractNumId w:val="12"/>
  </w:num>
  <w:num w:numId="12">
    <w:abstractNumId w:val="31"/>
  </w:num>
  <w:num w:numId="13">
    <w:abstractNumId w:val="18"/>
  </w:num>
  <w:num w:numId="14">
    <w:abstractNumId w:val="42"/>
  </w:num>
  <w:num w:numId="15">
    <w:abstractNumId w:val="11"/>
  </w:num>
  <w:num w:numId="16">
    <w:abstractNumId w:val="17"/>
  </w:num>
  <w:num w:numId="17">
    <w:abstractNumId w:val="15"/>
  </w:num>
  <w:num w:numId="18">
    <w:abstractNumId w:val="46"/>
  </w:num>
  <w:num w:numId="19">
    <w:abstractNumId w:val="0"/>
  </w:num>
  <w:num w:numId="20">
    <w:abstractNumId w:val="1"/>
  </w:num>
  <w:num w:numId="21">
    <w:abstractNumId w:val="2"/>
  </w:num>
  <w:num w:numId="22">
    <w:abstractNumId w:val="3"/>
  </w:num>
  <w:num w:numId="23">
    <w:abstractNumId w:val="4"/>
  </w:num>
  <w:num w:numId="24">
    <w:abstractNumId w:val="10"/>
  </w:num>
  <w:num w:numId="25">
    <w:abstractNumId w:val="34"/>
  </w:num>
  <w:num w:numId="26">
    <w:abstractNumId w:val="14"/>
  </w:num>
  <w:num w:numId="27">
    <w:abstractNumId w:val="9"/>
  </w:num>
  <w:num w:numId="28">
    <w:abstractNumId w:val="35"/>
  </w:num>
  <w:num w:numId="29">
    <w:abstractNumId w:val="20"/>
  </w:num>
  <w:num w:numId="30">
    <w:abstractNumId w:val="24"/>
  </w:num>
  <w:num w:numId="31">
    <w:abstractNumId w:val="13"/>
  </w:num>
  <w:num w:numId="32">
    <w:abstractNumId w:val="8"/>
  </w:num>
  <w:num w:numId="33">
    <w:abstractNumId w:val="36"/>
  </w:num>
  <w:num w:numId="34">
    <w:abstractNumId w:val="26"/>
  </w:num>
  <w:num w:numId="35">
    <w:abstractNumId w:val="29"/>
  </w:num>
  <w:num w:numId="36">
    <w:abstractNumId w:val="47"/>
  </w:num>
  <w:num w:numId="37">
    <w:abstractNumId w:val="43"/>
  </w:num>
  <w:num w:numId="38">
    <w:abstractNumId w:val="22"/>
  </w:num>
  <w:num w:numId="39">
    <w:abstractNumId w:val="44"/>
  </w:num>
  <w:num w:numId="40">
    <w:abstractNumId w:val="48"/>
  </w:num>
  <w:num w:numId="41">
    <w:abstractNumId w:val="6"/>
  </w:num>
  <w:num w:numId="42">
    <w:abstractNumId w:val="39"/>
  </w:num>
  <w:num w:numId="43">
    <w:abstractNumId w:val="30"/>
  </w:num>
  <w:num w:numId="44">
    <w:abstractNumId w:val="21"/>
  </w:num>
  <w:num w:numId="45">
    <w:abstractNumId w:val="7"/>
  </w:num>
  <w:num w:numId="46">
    <w:abstractNumId w:val="28"/>
  </w:num>
  <w:num w:numId="47">
    <w:abstractNumId w:val="19"/>
  </w:num>
  <w:num w:numId="48">
    <w:abstractNumId w:val="37"/>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E9"/>
    <w:rsid w:val="0000283B"/>
    <w:rsid w:val="000210F0"/>
    <w:rsid w:val="00026403"/>
    <w:rsid w:val="000307FD"/>
    <w:rsid w:val="00035228"/>
    <w:rsid w:val="00043703"/>
    <w:rsid w:val="00043B61"/>
    <w:rsid w:val="0004679B"/>
    <w:rsid w:val="00053E43"/>
    <w:rsid w:val="00060C2B"/>
    <w:rsid w:val="000615E2"/>
    <w:rsid w:val="00071A40"/>
    <w:rsid w:val="00072FA4"/>
    <w:rsid w:val="000809A2"/>
    <w:rsid w:val="0009116D"/>
    <w:rsid w:val="00095F49"/>
    <w:rsid w:val="000A24EC"/>
    <w:rsid w:val="000A2F92"/>
    <w:rsid w:val="000A4E0D"/>
    <w:rsid w:val="000B5A94"/>
    <w:rsid w:val="000B7061"/>
    <w:rsid w:val="000C4571"/>
    <w:rsid w:val="000C6BFB"/>
    <w:rsid w:val="000C72D2"/>
    <w:rsid w:val="000C7EA6"/>
    <w:rsid w:val="000E1F6B"/>
    <w:rsid w:val="000F2927"/>
    <w:rsid w:val="0010121A"/>
    <w:rsid w:val="001030E1"/>
    <w:rsid w:val="001064F9"/>
    <w:rsid w:val="0010679F"/>
    <w:rsid w:val="00117E02"/>
    <w:rsid w:val="0012281C"/>
    <w:rsid w:val="001328AE"/>
    <w:rsid w:val="001329A9"/>
    <w:rsid w:val="0014064E"/>
    <w:rsid w:val="00151A80"/>
    <w:rsid w:val="0015383D"/>
    <w:rsid w:val="00157066"/>
    <w:rsid w:val="00172BA2"/>
    <w:rsid w:val="00173401"/>
    <w:rsid w:val="0017527E"/>
    <w:rsid w:val="0018101E"/>
    <w:rsid w:val="00193CF4"/>
    <w:rsid w:val="001A06D9"/>
    <w:rsid w:val="001A6469"/>
    <w:rsid w:val="001B5415"/>
    <w:rsid w:val="001D2AF4"/>
    <w:rsid w:val="001E2039"/>
    <w:rsid w:val="001E53E9"/>
    <w:rsid w:val="001F3D46"/>
    <w:rsid w:val="001F7BA3"/>
    <w:rsid w:val="0020708E"/>
    <w:rsid w:val="002124B1"/>
    <w:rsid w:val="00221B85"/>
    <w:rsid w:val="002307D6"/>
    <w:rsid w:val="0024257F"/>
    <w:rsid w:val="00247378"/>
    <w:rsid w:val="002511CA"/>
    <w:rsid w:val="00253A57"/>
    <w:rsid w:val="002547C2"/>
    <w:rsid w:val="002579CB"/>
    <w:rsid w:val="00264A05"/>
    <w:rsid w:val="00272614"/>
    <w:rsid w:val="00286713"/>
    <w:rsid w:val="00290300"/>
    <w:rsid w:val="002A5178"/>
    <w:rsid w:val="002A54DA"/>
    <w:rsid w:val="002B1FEC"/>
    <w:rsid w:val="002C1594"/>
    <w:rsid w:val="002C19AE"/>
    <w:rsid w:val="002C1C14"/>
    <w:rsid w:val="002D6110"/>
    <w:rsid w:val="002E3850"/>
    <w:rsid w:val="002E45D1"/>
    <w:rsid w:val="00301AB3"/>
    <w:rsid w:val="003033D0"/>
    <w:rsid w:val="003100B4"/>
    <w:rsid w:val="00312E8B"/>
    <w:rsid w:val="00315322"/>
    <w:rsid w:val="0032329D"/>
    <w:rsid w:val="003243CE"/>
    <w:rsid w:val="003406E5"/>
    <w:rsid w:val="00343379"/>
    <w:rsid w:val="00351144"/>
    <w:rsid w:val="00362FF3"/>
    <w:rsid w:val="003717EF"/>
    <w:rsid w:val="00377E7C"/>
    <w:rsid w:val="003803F8"/>
    <w:rsid w:val="003824E7"/>
    <w:rsid w:val="0038414A"/>
    <w:rsid w:val="00390921"/>
    <w:rsid w:val="00394C8B"/>
    <w:rsid w:val="0039629B"/>
    <w:rsid w:val="003A1110"/>
    <w:rsid w:val="003A3755"/>
    <w:rsid w:val="003A7DFD"/>
    <w:rsid w:val="003C0F7D"/>
    <w:rsid w:val="003C1794"/>
    <w:rsid w:val="003C6800"/>
    <w:rsid w:val="003D20E5"/>
    <w:rsid w:val="003D4B5F"/>
    <w:rsid w:val="003E2738"/>
    <w:rsid w:val="003F2379"/>
    <w:rsid w:val="003F6930"/>
    <w:rsid w:val="003F77D4"/>
    <w:rsid w:val="0040499C"/>
    <w:rsid w:val="004108EF"/>
    <w:rsid w:val="004111D4"/>
    <w:rsid w:val="0041444B"/>
    <w:rsid w:val="004158EB"/>
    <w:rsid w:val="004212F1"/>
    <w:rsid w:val="00421B76"/>
    <w:rsid w:val="00422B2A"/>
    <w:rsid w:val="00427ACC"/>
    <w:rsid w:val="00435461"/>
    <w:rsid w:val="004413B9"/>
    <w:rsid w:val="004437E3"/>
    <w:rsid w:val="004476B3"/>
    <w:rsid w:val="00452A53"/>
    <w:rsid w:val="00456607"/>
    <w:rsid w:val="00465AD8"/>
    <w:rsid w:val="00483833"/>
    <w:rsid w:val="00490D37"/>
    <w:rsid w:val="004927AC"/>
    <w:rsid w:val="00494538"/>
    <w:rsid w:val="004A2766"/>
    <w:rsid w:val="004A311D"/>
    <w:rsid w:val="004B26FC"/>
    <w:rsid w:val="004B7506"/>
    <w:rsid w:val="004C0FEA"/>
    <w:rsid w:val="004D0350"/>
    <w:rsid w:val="004E6B65"/>
    <w:rsid w:val="004F291F"/>
    <w:rsid w:val="004F5414"/>
    <w:rsid w:val="005002E4"/>
    <w:rsid w:val="005003CC"/>
    <w:rsid w:val="00502BED"/>
    <w:rsid w:val="00502D22"/>
    <w:rsid w:val="00502D86"/>
    <w:rsid w:val="00510BBE"/>
    <w:rsid w:val="0051784F"/>
    <w:rsid w:val="00522A6F"/>
    <w:rsid w:val="00522F17"/>
    <w:rsid w:val="00523B81"/>
    <w:rsid w:val="00527782"/>
    <w:rsid w:val="00527BBD"/>
    <w:rsid w:val="00531AF9"/>
    <w:rsid w:val="005322B4"/>
    <w:rsid w:val="005358C3"/>
    <w:rsid w:val="0054093C"/>
    <w:rsid w:val="00545211"/>
    <w:rsid w:val="00546185"/>
    <w:rsid w:val="00555534"/>
    <w:rsid w:val="00561CF9"/>
    <w:rsid w:val="00572652"/>
    <w:rsid w:val="00581906"/>
    <w:rsid w:val="005866B5"/>
    <w:rsid w:val="00586B1B"/>
    <w:rsid w:val="005910B9"/>
    <w:rsid w:val="00592A24"/>
    <w:rsid w:val="005936C6"/>
    <w:rsid w:val="005A4606"/>
    <w:rsid w:val="005A56ED"/>
    <w:rsid w:val="005B22F7"/>
    <w:rsid w:val="005B29F6"/>
    <w:rsid w:val="005C6AAC"/>
    <w:rsid w:val="005E1276"/>
    <w:rsid w:val="005E7529"/>
    <w:rsid w:val="005F7E04"/>
    <w:rsid w:val="0061076B"/>
    <w:rsid w:val="00610E1E"/>
    <w:rsid w:val="0061262C"/>
    <w:rsid w:val="0061374F"/>
    <w:rsid w:val="00630017"/>
    <w:rsid w:val="006327BE"/>
    <w:rsid w:val="0066399F"/>
    <w:rsid w:val="00665B5F"/>
    <w:rsid w:val="00670882"/>
    <w:rsid w:val="00670E76"/>
    <w:rsid w:val="00687028"/>
    <w:rsid w:val="00691306"/>
    <w:rsid w:val="0069132B"/>
    <w:rsid w:val="00691DD3"/>
    <w:rsid w:val="006A53E5"/>
    <w:rsid w:val="006B05A3"/>
    <w:rsid w:val="006C4D21"/>
    <w:rsid w:val="006C6F41"/>
    <w:rsid w:val="006D27C6"/>
    <w:rsid w:val="006D787C"/>
    <w:rsid w:val="006F099B"/>
    <w:rsid w:val="006F09B9"/>
    <w:rsid w:val="007018B2"/>
    <w:rsid w:val="00704976"/>
    <w:rsid w:val="0071003D"/>
    <w:rsid w:val="00711C5A"/>
    <w:rsid w:val="00711ECD"/>
    <w:rsid w:val="007157F3"/>
    <w:rsid w:val="00715989"/>
    <w:rsid w:val="00717F49"/>
    <w:rsid w:val="0072125F"/>
    <w:rsid w:val="0072393F"/>
    <w:rsid w:val="00723A68"/>
    <w:rsid w:val="0072518B"/>
    <w:rsid w:val="00725D27"/>
    <w:rsid w:val="00740545"/>
    <w:rsid w:val="00741C5E"/>
    <w:rsid w:val="007429C5"/>
    <w:rsid w:val="00742D98"/>
    <w:rsid w:val="00756198"/>
    <w:rsid w:val="0076346D"/>
    <w:rsid w:val="007639C6"/>
    <w:rsid w:val="00766C32"/>
    <w:rsid w:val="00781D14"/>
    <w:rsid w:val="007860DD"/>
    <w:rsid w:val="007928B0"/>
    <w:rsid w:val="007943D8"/>
    <w:rsid w:val="00795B18"/>
    <w:rsid w:val="00796887"/>
    <w:rsid w:val="007A1941"/>
    <w:rsid w:val="007A406B"/>
    <w:rsid w:val="007C2D4A"/>
    <w:rsid w:val="007C4CFE"/>
    <w:rsid w:val="007C5AD9"/>
    <w:rsid w:val="007C6369"/>
    <w:rsid w:val="007D38B9"/>
    <w:rsid w:val="007D77B1"/>
    <w:rsid w:val="007E4619"/>
    <w:rsid w:val="007E4EEF"/>
    <w:rsid w:val="007F17AB"/>
    <w:rsid w:val="007F4BB5"/>
    <w:rsid w:val="007F7398"/>
    <w:rsid w:val="008017AF"/>
    <w:rsid w:val="00803325"/>
    <w:rsid w:val="0080490F"/>
    <w:rsid w:val="00804922"/>
    <w:rsid w:val="0081140F"/>
    <w:rsid w:val="00831A01"/>
    <w:rsid w:val="00831C06"/>
    <w:rsid w:val="00832CE0"/>
    <w:rsid w:val="0084484D"/>
    <w:rsid w:val="00850448"/>
    <w:rsid w:val="008573CF"/>
    <w:rsid w:val="0086685B"/>
    <w:rsid w:val="00872995"/>
    <w:rsid w:val="008747BF"/>
    <w:rsid w:val="00875075"/>
    <w:rsid w:val="008758FB"/>
    <w:rsid w:val="00880A13"/>
    <w:rsid w:val="00895DC6"/>
    <w:rsid w:val="00896604"/>
    <w:rsid w:val="008969F6"/>
    <w:rsid w:val="008A1267"/>
    <w:rsid w:val="008A1B18"/>
    <w:rsid w:val="008A7C7A"/>
    <w:rsid w:val="008B2A83"/>
    <w:rsid w:val="008B6134"/>
    <w:rsid w:val="008B61FD"/>
    <w:rsid w:val="008C109E"/>
    <w:rsid w:val="008C5A3B"/>
    <w:rsid w:val="008E1BA5"/>
    <w:rsid w:val="00900F17"/>
    <w:rsid w:val="00911835"/>
    <w:rsid w:val="00921F17"/>
    <w:rsid w:val="00922E24"/>
    <w:rsid w:val="00925A5D"/>
    <w:rsid w:val="009367F1"/>
    <w:rsid w:val="00943088"/>
    <w:rsid w:val="00951A0D"/>
    <w:rsid w:val="00952BB6"/>
    <w:rsid w:val="00954DBE"/>
    <w:rsid w:val="00957803"/>
    <w:rsid w:val="00957BBB"/>
    <w:rsid w:val="00962279"/>
    <w:rsid w:val="009666D3"/>
    <w:rsid w:val="0096700F"/>
    <w:rsid w:val="00973F1D"/>
    <w:rsid w:val="00976CEA"/>
    <w:rsid w:val="009822D2"/>
    <w:rsid w:val="00984AC8"/>
    <w:rsid w:val="009855B0"/>
    <w:rsid w:val="00987661"/>
    <w:rsid w:val="00991A18"/>
    <w:rsid w:val="009B1673"/>
    <w:rsid w:val="009B7B6C"/>
    <w:rsid w:val="009C3949"/>
    <w:rsid w:val="009C3966"/>
    <w:rsid w:val="009C60B4"/>
    <w:rsid w:val="009D0184"/>
    <w:rsid w:val="009D24FE"/>
    <w:rsid w:val="009D4FA0"/>
    <w:rsid w:val="00A267A4"/>
    <w:rsid w:val="00A32885"/>
    <w:rsid w:val="00A47839"/>
    <w:rsid w:val="00A51BF1"/>
    <w:rsid w:val="00A53112"/>
    <w:rsid w:val="00A54CD5"/>
    <w:rsid w:val="00A56E08"/>
    <w:rsid w:val="00A659CC"/>
    <w:rsid w:val="00A67AA8"/>
    <w:rsid w:val="00A71981"/>
    <w:rsid w:val="00A740B8"/>
    <w:rsid w:val="00A7414B"/>
    <w:rsid w:val="00A82047"/>
    <w:rsid w:val="00A91BA1"/>
    <w:rsid w:val="00A92E70"/>
    <w:rsid w:val="00A943AA"/>
    <w:rsid w:val="00AA5BD0"/>
    <w:rsid w:val="00AB37DE"/>
    <w:rsid w:val="00AC040E"/>
    <w:rsid w:val="00AC6A7A"/>
    <w:rsid w:val="00AD2906"/>
    <w:rsid w:val="00AE0A28"/>
    <w:rsid w:val="00AF61CE"/>
    <w:rsid w:val="00B02961"/>
    <w:rsid w:val="00B0313C"/>
    <w:rsid w:val="00B043C2"/>
    <w:rsid w:val="00B0716B"/>
    <w:rsid w:val="00B11B8C"/>
    <w:rsid w:val="00B14A3D"/>
    <w:rsid w:val="00B42D04"/>
    <w:rsid w:val="00B5226B"/>
    <w:rsid w:val="00B60116"/>
    <w:rsid w:val="00B609B4"/>
    <w:rsid w:val="00B725C7"/>
    <w:rsid w:val="00B73227"/>
    <w:rsid w:val="00B73A1B"/>
    <w:rsid w:val="00B906A4"/>
    <w:rsid w:val="00B90A23"/>
    <w:rsid w:val="00B94F34"/>
    <w:rsid w:val="00BA317C"/>
    <w:rsid w:val="00BA3600"/>
    <w:rsid w:val="00BA476C"/>
    <w:rsid w:val="00BA5536"/>
    <w:rsid w:val="00BA69FF"/>
    <w:rsid w:val="00BB0879"/>
    <w:rsid w:val="00BB5436"/>
    <w:rsid w:val="00BC12C4"/>
    <w:rsid w:val="00BD17E5"/>
    <w:rsid w:val="00BE1598"/>
    <w:rsid w:val="00BE6F23"/>
    <w:rsid w:val="00C0068E"/>
    <w:rsid w:val="00C03B9D"/>
    <w:rsid w:val="00C12ABE"/>
    <w:rsid w:val="00C164DE"/>
    <w:rsid w:val="00C34631"/>
    <w:rsid w:val="00C41599"/>
    <w:rsid w:val="00C5177C"/>
    <w:rsid w:val="00C527CC"/>
    <w:rsid w:val="00C54262"/>
    <w:rsid w:val="00C54899"/>
    <w:rsid w:val="00C775FF"/>
    <w:rsid w:val="00C82BC9"/>
    <w:rsid w:val="00C830E9"/>
    <w:rsid w:val="00C86A93"/>
    <w:rsid w:val="00CB25E8"/>
    <w:rsid w:val="00CC2560"/>
    <w:rsid w:val="00CC7A6D"/>
    <w:rsid w:val="00CC7AD3"/>
    <w:rsid w:val="00CE4E95"/>
    <w:rsid w:val="00CE7FA0"/>
    <w:rsid w:val="00CF1FE5"/>
    <w:rsid w:val="00CF2D0D"/>
    <w:rsid w:val="00CF3EA2"/>
    <w:rsid w:val="00CF695C"/>
    <w:rsid w:val="00D00429"/>
    <w:rsid w:val="00D018FD"/>
    <w:rsid w:val="00D04D41"/>
    <w:rsid w:val="00D10691"/>
    <w:rsid w:val="00D130E1"/>
    <w:rsid w:val="00D1402D"/>
    <w:rsid w:val="00D16497"/>
    <w:rsid w:val="00D30168"/>
    <w:rsid w:val="00D307BD"/>
    <w:rsid w:val="00D32D8B"/>
    <w:rsid w:val="00D33EE8"/>
    <w:rsid w:val="00D35435"/>
    <w:rsid w:val="00D3693F"/>
    <w:rsid w:val="00D43AFC"/>
    <w:rsid w:val="00D463F6"/>
    <w:rsid w:val="00D46462"/>
    <w:rsid w:val="00D53291"/>
    <w:rsid w:val="00D55AFE"/>
    <w:rsid w:val="00D56DC4"/>
    <w:rsid w:val="00D64DFF"/>
    <w:rsid w:val="00D81328"/>
    <w:rsid w:val="00D8136A"/>
    <w:rsid w:val="00D81B82"/>
    <w:rsid w:val="00D95936"/>
    <w:rsid w:val="00D95F86"/>
    <w:rsid w:val="00DB35DB"/>
    <w:rsid w:val="00DC30F1"/>
    <w:rsid w:val="00DD43C8"/>
    <w:rsid w:val="00DD52BD"/>
    <w:rsid w:val="00DD6A66"/>
    <w:rsid w:val="00DD746C"/>
    <w:rsid w:val="00DE46E3"/>
    <w:rsid w:val="00DF147D"/>
    <w:rsid w:val="00DF3BAF"/>
    <w:rsid w:val="00DF7129"/>
    <w:rsid w:val="00E02972"/>
    <w:rsid w:val="00E04572"/>
    <w:rsid w:val="00E117A9"/>
    <w:rsid w:val="00E13FB4"/>
    <w:rsid w:val="00E141F8"/>
    <w:rsid w:val="00E24662"/>
    <w:rsid w:val="00E24D30"/>
    <w:rsid w:val="00E3167E"/>
    <w:rsid w:val="00E339F0"/>
    <w:rsid w:val="00E36585"/>
    <w:rsid w:val="00E40D15"/>
    <w:rsid w:val="00E47984"/>
    <w:rsid w:val="00E51786"/>
    <w:rsid w:val="00E55A75"/>
    <w:rsid w:val="00E64833"/>
    <w:rsid w:val="00E65512"/>
    <w:rsid w:val="00E70B85"/>
    <w:rsid w:val="00E7620F"/>
    <w:rsid w:val="00E832C3"/>
    <w:rsid w:val="00E84DE8"/>
    <w:rsid w:val="00E85C1C"/>
    <w:rsid w:val="00E85EF5"/>
    <w:rsid w:val="00EA3B14"/>
    <w:rsid w:val="00EA4467"/>
    <w:rsid w:val="00EB017B"/>
    <w:rsid w:val="00EB52D7"/>
    <w:rsid w:val="00EC0321"/>
    <w:rsid w:val="00EC2AF8"/>
    <w:rsid w:val="00EC4EE9"/>
    <w:rsid w:val="00ED3DD6"/>
    <w:rsid w:val="00EE24C4"/>
    <w:rsid w:val="00EE42B7"/>
    <w:rsid w:val="00EE776C"/>
    <w:rsid w:val="00EF054E"/>
    <w:rsid w:val="00F0484F"/>
    <w:rsid w:val="00F0532A"/>
    <w:rsid w:val="00F159F6"/>
    <w:rsid w:val="00F30FB1"/>
    <w:rsid w:val="00F31AE3"/>
    <w:rsid w:val="00F332EE"/>
    <w:rsid w:val="00F36969"/>
    <w:rsid w:val="00F37F4F"/>
    <w:rsid w:val="00F410C9"/>
    <w:rsid w:val="00F72702"/>
    <w:rsid w:val="00F85029"/>
    <w:rsid w:val="00F910DA"/>
    <w:rsid w:val="00F91CA5"/>
    <w:rsid w:val="00F97645"/>
    <w:rsid w:val="00FA4354"/>
    <w:rsid w:val="00FA4BD2"/>
    <w:rsid w:val="00FB10C6"/>
    <w:rsid w:val="00FB369E"/>
    <w:rsid w:val="00FB78B6"/>
    <w:rsid w:val="00FD6CEF"/>
    <w:rsid w:val="00FD7202"/>
    <w:rsid w:val="00FD73AD"/>
    <w:rsid w:val="00FD7513"/>
    <w:rsid w:val="00FE1BAE"/>
    <w:rsid w:val="00FE4179"/>
    <w:rsid w:val="00FE57F4"/>
    <w:rsid w:val="00FE6B92"/>
    <w:rsid w:val="00FF2712"/>
    <w:rsid w:val="00FF594F"/>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E638"/>
  <w15:chartTrackingRefBased/>
  <w15:docId w15:val="{E9D55950-1A72-4EE7-985F-81036BD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1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2F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C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830E9"/>
  </w:style>
  <w:style w:type="character" w:styleId="Strong">
    <w:name w:val="Strong"/>
    <w:basedOn w:val="DefaultParagraphFont"/>
    <w:uiPriority w:val="22"/>
    <w:qFormat/>
    <w:rsid w:val="00C830E9"/>
    <w:rPr>
      <w:b/>
      <w:bCs/>
    </w:rPr>
  </w:style>
  <w:style w:type="paragraph" w:customStyle="1" w:styleId="df3vjf">
    <w:name w:val="df3vjf"/>
    <w:basedOn w:val="Normal"/>
    <w:rsid w:val="00C83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C830E9"/>
  </w:style>
  <w:style w:type="character" w:customStyle="1" w:styleId="ifmvxd">
    <w:name w:val="ifmvxd"/>
    <w:basedOn w:val="DefaultParagraphFont"/>
    <w:rsid w:val="00C830E9"/>
  </w:style>
  <w:style w:type="character" w:customStyle="1" w:styleId="ijm6od">
    <w:name w:val="ijm6od"/>
    <w:basedOn w:val="DefaultParagraphFont"/>
    <w:rsid w:val="00C830E9"/>
  </w:style>
  <w:style w:type="paragraph" w:styleId="ListParagraph">
    <w:name w:val="List Paragraph"/>
    <w:aliases w:val="heading,Thang2,Paragraphe de liste PBLH,Bullet Points,Bullet list,Table of contents numbered,Liststycke SKL,Normal bullet 2,Subtítulo tabela,Liste Paragraf1,List Paragraph (numbered (a)),List Paragraph 1,Numbered paragraph,Huong 5,Picture"/>
    <w:basedOn w:val="Normal"/>
    <w:uiPriority w:val="34"/>
    <w:qFormat/>
    <w:rsid w:val="00456607"/>
    <w:pPr>
      <w:ind w:left="720"/>
      <w:contextualSpacing/>
    </w:pPr>
  </w:style>
  <w:style w:type="character" w:styleId="Hyperlink">
    <w:name w:val="Hyperlink"/>
    <w:basedOn w:val="DefaultParagraphFont"/>
    <w:uiPriority w:val="99"/>
    <w:unhideWhenUsed/>
    <w:rsid w:val="000F2927"/>
    <w:rPr>
      <w:color w:val="0563C1" w:themeColor="hyperlink"/>
      <w:u w:val="single"/>
    </w:rPr>
  </w:style>
  <w:style w:type="character" w:customStyle="1" w:styleId="UnresolvedMention">
    <w:name w:val="Unresolved Mention"/>
    <w:basedOn w:val="DefaultParagraphFont"/>
    <w:uiPriority w:val="99"/>
    <w:semiHidden/>
    <w:unhideWhenUsed/>
    <w:rsid w:val="000F2927"/>
    <w:rPr>
      <w:color w:val="605E5C"/>
      <w:shd w:val="clear" w:color="auto" w:fill="E1DFDD"/>
    </w:rPr>
  </w:style>
  <w:style w:type="paragraph" w:styleId="NormalWeb">
    <w:name w:val="Normal (Web)"/>
    <w:basedOn w:val="Normal"/>
    <w:uiPriority w:val="99"/>
    <w:unhideWhenUsed/>
    <w:rsid w:val="008E1BA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C4D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332EE"/>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Heading1Char">
    <w:name w:val="Heading 1 Char"/>
    <w:basedOn w:val="DefaultParagraphFont"/>
    <w:link w:val="Heading1"/>
    <w:uiPriority w:val="9"/>
    <w:rsid w:val="00D8136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497"/>
  </w:style>
  <w:style w:type="paragraph" w:styleId="Footer">
    <w:name w:val="footer"/>
    <w:basedOn w:val="Normal"/>
    <w:link w:val="FooterChar"/>
    <w:uiPriority w:val="99"/>
    <w:unhideWhenUsed/>
    <w:rsid w:val="00D16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97"/>
  </w:style>
  <w:style w:type="numbering" w:customStyle="1" w:styleId="Style1">
    <w:name w:val="Style1"/>
    <w:uiPriority w:val="99"/>
    <w:rsid w:val="00DF7129"/>
    <w:pPr>
      <w:numPr>
        <w:numId w:val="31"/>
      </w:numPr>
    </w:pPr>
  </w:style>
  <w:style w:type="character" w:customStyle="1" w:styleId="whitespace-normal">
    <w:name w:val="whitespace-normal"/>
    <w:basedOn w:val="DefaultParagraphFont"/>
    <w:rsid w:val="00A91BA1"/>
  </w:style>
  <w:style w:type="character" w:customStyle="1" w:styleId="Heading2Char">
    <w:name w:val="Heading 2 Char"/>
    <w:basedOn w:val="DefaultParagraphFont"/>
    <w:link w:val="Heading2"/>
    <w:uiPriority w:val="9"/>
    <w:rsid w:val="00522F1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143">
      <w:bodyDiv w:val="1"/>
      <w:marLeft w:val="0"/>
      <w:marRight w:val="0"/>
      <w:marTop w:val="0"/>
      <w:marBottom w:val="0"/>
      <w:divBdr>
        <w:top w:val="none" w:sz="0" w:space="0" w:color="auto"/>
        <w:left w:val="none" w:sz="0" w:space="0" w:color="auto"/>
        <w:bottom w:val="none" w:sz="0" w:space="0" w:color="auto"/>
        <w:right w:val="none" w:sz="0" w:space="0" w:color="auto"/>
      </w:divBdr>
    </w:div>
    <w:div w:id="17127046">
      <w:bodyDiv w:val="1"/>
      <w:marLeft w:val="0"/>
      <w:marRight w:val="0"/>
      <w:marTop w:val="0"/>
      <w:marBottom w:val="0"/>
      <w:divBdr>
        <w:top w:val="none" w:sz="0" w:space="0" w:color="auto"/>
        <w:left w:val="none" w:sz="0" w:space="0" w:color="auto"/>
        <w:bottom w:val="none" w:sz="0" w:space="0" w:color="auto"/>
        <w:right w:val="none" w:sz="0" w:space="0" w:color="auto"/>
      </w:divBdr>
    </w:div>
    <w:div w:id="907150787">
      <w:bodyDiv w:val="1"/>
      <w:marLeft w:val="0"/>
      <w:marRight w:val="0"/>
      <w:marTop w:val="0"/>
      <w:marBottom w:val="0"/>
      <w:divBdr>
        <w:top w:val="none" w:sz="0" w:space="0" w:color="auto"/>
        <w:left w:val="none" w:sz="0" w:space="0" w:color="auto"/>
        <w:bottom w:val="none" w:sz="0" w:space="0" w:color="auto"/>
        <w:right w:val="none" w:sz="0" w:space="0" w:color="auto"/>
      </w:divBdr>
    </w:div>
    <w:div w:id="1057627271">
      <w:bodyDiv w:val="1"/>
      <w:marLeft w:val="0"/>
      <w:marRight w:val="0"/>
      <w:marTop w:val="0"/>
      <w:marBottom w:val="0"/>
      <w:divBdr>
        <w:top w:val="none" w:sz="0" w:space="0" w:color="auto"/>
        <w:left w:val="none" w:sz="0" w:space="0" w:color="auto"/>
        <w:bottom w:val="none" w:sz="0" w:space="0" w:color="auto"/>
        <w:right w:val="none" w:sz="0" w:space="0" w:color="auto"/>
      </w:divBdr>
      <w:divsChild>
        <w:div w:id="2121948602">
          <w:marLeft w:val="0"/>
          <w:marRight w:val="0"/>
          <w:marTop w:val="0"/>
          <w:marBottom w:val="0"/>
          <w:divBdr>
            <w:top w:val="none" w:sz="0" w:space="0" w:color="auto"/>
            <w:left w:val="none" w:sz="0" w:space="0" w:color="auto"/>
            <w:bottom w:val="none" w:sz="0" w:space="0" w:color="auto"/>
            <w:right w:val="none" w:sz="0" w:space="0" w:color="auto"/>
          </w:divBdr>
          <w:divsChild>
            <w:div w:id="1969582368">
              <w:marLeft w:val="0"/>
              <w:marRight w:val="0"/>
              <w:marTop w:val="0"/>
              <w:marBottom w:val="0"/>
              <w:divBdr>
                <w:top w:val="none" w:sz="0" w:space="0" w:color="auto"/>
                <w:left w:val="none" w:sz="0" w:space="0" w:color="auto"/>
                <w:bottom w:val="none" w:sz="0" w:space="0" w:color="auto"/>
                <w:right w:val="none" w:sz="0" w:space="0" w:color="auto"/>
              </w:divBdr>
              <w:divsChild>
                <w:div w:id="397478312">
                  <w:marLeft w:val="0"/>
                  <w:marRight w:val="0"/>
                  <w:marTop w:val="0"/>
                  <w:marBottom w:val="0"/>
                  <w:divBdr>
                    <w:top w:val="none" w:sz="0" w:space="0" w:color="auto"/>
                    <w:left w:val="none" w:sz="0" w:space="0" w:color="auto"/>
                    <w:bottom w:val="none" w:sz="0" w:space="0" w:color="auto"/>
                    <w:right w:val="none" w:sz="0" w:space="0" w:color="auto"/>
                  </w:divBdr>
                  <w:divsChild>
                    <w:div w:id="1971739428">
                      <w:marLeft w:val="0"/>
                      <w:marRight w:val="0"/>
                      <w:marTop w:val="0"/>
                      <w:marBottom w:val="0"/>
                      <w:divBdr>
                        <w:top w:val="none" w:sz="0" w:space="0" w:color="auto"/>
                        <w:left w:val="none" w:sz="0" w:space="0" w:color="auto"/>
                        <w:bottom w:val="none" w:sz="0" w:space="0" w:color="auto"/>
                        <w:right w:val="none" w:sz="0" w:space="0" w:color="auto"/>
                      </w:divBdr>
                      <w:divsChild>
                        <w:div w:id="652949424">
                          <w:marLeft w:val="0"/>
                          <w:marRight w:val="0"/>
                          <w:marTop w:val="0"/>
                          <w:marBottom w:val="0"/>
                          <w:divBdr>
                            <w:top w:val="none" w:sz="0" w:space="0" w:color="auto"/>
                            <w:left w:val="none" w:sz="0" w:space="0" w:color="auto"/>
                            <w:bottom w:val="none" w:sz="0" w:space="0" w:color="auto"/>
                            <w:right w:val="none" w:sz="0" w:space="0" w:color="auto"/>
                          </w:divBdr>
                          <w:divsChild>
                            <w:div w:id="438988031">
                              <w:marLeft w:val="0"/>
                              <w:marRight w:val="0"/>
                              <w:marTop w:val="0"/>
                              <w:marBottom w:val="0"/>
                              <w:divBdr>
                                <w:top w:val="none" w:sz="0" w:space="0" w:color="auto"/>
                                <w:left w:val="none" w:sz="0" w:space="0" w:color="auto"/>
                                <w:bottom w:val="none" w:sz="0" w:space="0" w:color="auto"/>
                                <w:right w:val="none" w:sz="0" w:space="0" w:color="auto"/>
                              </w:divBdr>
                              <w:divsChild>
                                <w:div w:id="1280067880">
                                  <w:marLeft w:val="0"/>
                                  <w:marRight w:val="0"/>
                                  <w:marTop w:val="0"/>
                                  <w:marBottom w:val="0"/>
                                  <w:divBdr>
                                    <w:top w:val="none" w:sz="0" w:space="0" w:color="auto"/>
                                    <w:left w:val="none" w:sz="0" w:space="0" w:color="auto"/>
                                    <w:bottom w:val="none" w:sz="0" w:space="0" w:color="auto"/>
                                    <w:right w:val="none" w:sz="0" w:space="0" w:color="auto"/>
                                  </w:divBdr>
                                  <w:divsChild>
                                    <w:div w:id="7484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757808">
      <w:bodyDiv w:val="1"/>
      <w:marLeft w:val="0"/>
      <w:marRight w:val="0"/>
      <w:marTop w:val="0"/>
      <w:marBottom w:val="0"/>
      <w:divBdr>
        <w:top w:val="none" w:sz="0" w:space="0" w:color="auto"/>
        <w:left w:val="none" w:sz="0" w:space="0" w:color="auto"/>
        <w:bottom w:val="none" w:sz="0" w:space="0" w:color="auto"/>
        <w:right w:val="none" w:sz="0" w:space="0" w:color="auto"/>
      </w:divBdr>
    </w:div>
    <w:div w:id="1625307191">
      <w:bodyDiv w:val="1"/>
      <w:marLeft w:val="0"/>
      <w:marRight w:val="0"/>
      <w:marTop w:val="0"/>
      <w:marBottom w:val="0"/>
      <w:divBdr>
        <w:top w:val="none" w:sz="0" w:space="0" w:color="auto"/>
        <w:left w:val="none" w:sz="0" w:space="0" w:color="auto"/>
        <w:bottom w:val="none" w:sz="0" w:space="0" w:color="auto"/>
        <w:right w:val="none" w:sz="0" w:space="0" w:color="auto"/>
      </w:divBdr>
      <w:divsChild>
        <w:div w:id="1663703179">
          <w:marLeft w:val="0"/>
          <w:marRight w:val="0"/>
          <w:marTop w:val="0"/>
          <w:marBottom w:val="0"/>
          <w:divBdr>
            <w:top w:val="none" w:sz="0" w:space="0" w:color="auto"/>
            <w:left w:val="none" w:sz="0" w:space="0" w:color="auto"/>
            <w:bottom w:val="none" w:sz="0" w:space="0" w:color="auto"/>
            <w:right w:val="none" w:sz="0" w:space="0" w:color="auto"/>
          </w:divBdr>
        </w:div>
        <w:div w:id="286477397">
          <w:marLeft w:val="0"/>
          <w:marRight w:val="0"/>
          <w:marTop w:val="0"/>
          <w:marBottom w:val="0"/>
          <w:divBdr>
            <w:top w:val="none" w:sz="0" w:space="0" w:color="auto"/>
            <w:left w:val="none" w:sz="0" w:space="0" w:color="auto"/>
            <w:bottom w:val="none" w:sz="0" w:space="0" w:color="auto"/>
            <w:right w:val="none" w:sz="0" w:space="0" w:color="auto"/>
          </w:divBdr>
        </w:div>
        <w:div w:id="8875810">
          <w:marLeft w:val="0"/>
          <w:marRight w:val="0"/>
          <w:marTop w:val="0"/>
          <w:marBottom w:val="0"/>
          <w:divBdr>
            <w:top w:val="none" w:sz="0" w:space="0" w:color="auto"/>
            <w:left w:val="none" w:sz="0" w:space="0" w:color="auto"/>
            <w:bottom w:val="none" w:sz="0" w:space="0" w:color="auto"/>
            <w:right w:val="none" w:sz="0" w:space="0" w:color="auto"/>
          </w:divBdr>
        </w:div>
        <w:div w:id="453715279">
          <w:marLeft w:val="0"/>
          <w:marRight w:val="0"/>
          <w:marTop w:val="0"/>
          <w:marBottom w:val="0"/>
          <w:divBdr>
            <w:top w:val="none" w:sz="0" w:space="0" w:color="auto"/>
            <w:left w:val="none" w:sz="0" w:space="0" w:color="auto"/>
            <w:bottom w:val="none" w:sz="0" w:space="0" w:color="auto"/>
            <w:right w:val="none" w:sz="0" w:space="0" w:color="auto"/>
          </w:divBdr>
        </w:div>
        <w:div w:id="525019555">
          <w:marLeft w:val="0"/>
          <w:marRight w:val="0"/>
          <w:marTop w:val="0"/>
          <w:marBottom w:val="0"/>
          <w:divBdr>
            <w:top w:val="none" w:sz="0" w:space="0" w:color="auto"/>
            <w:left w:val="none" w:sz="0" w:space="0" w:color="auto"/>
            <w:bottom w:val="none" w:sz="0" w:space="0" w:color="auto"/>
            <w:right w:val="none" w:sz="0" w:space="0" w:color="auto"/>
          </w:divBdr>
        </w:div>
        <w:div w:id="1710448412">
          <w:marLeft w:val="0"/>
          <w:marRight w:val="0"/>
          <w:marTop w:val="0"/>
          <w:marBottom w:val="0"/>
          <w:divBdr>
            <w:top w:val="none" w:sz="0" w:space="0" w:color="auto"/>
            <w:left w:val="none" w:sz="0" w:space="0" w:color="auto"/>
            <w:bottom w:val="none" w:sz="0" w:space="0" w:color="auto"/>
            <w:right w:val="none" w:sz="0" w:space="0" w:color="auto"/>
          </w:divBdr>
        </w:div>
        <w:div w:id="1612320800">
          <w:marLeft w:val="0"/>
          <w:marRight w:val="0"/>
          <w:marTop w:val="0"/>
          <w:marBottom w:val="0"/>
          <w:divBdr>
            <w:top w:val="none" w:sz="0" w:space="0" w:color="auto"/>
            <w:left w:val="none" w:sz="0" w:space="0" w:color="auto"/>
            <w:bottom w:val="none" w:sz="0" w:space="0" w:color="auto"/>
            <w:right w:val="none" w:sz="0" w:space="0" w:color="auto"/>
          </w:divBdr>
        </w:div>
        <w:div w:id="414018579">
          <w:marLeft w:val="0"/>
          <w:marRight w:val="0"/>
          <w:marTop w:val="0"/>
          <w:marBottom w:val="0"/>
          <w:divBdr>
            <w:top w:val="none" w:sz="0" w:space="0" w:color="auto"/>
            <w:left w:val="none" w:sz="0" w:space="0" w:color="auto"/>
            <w:bottom w:val="none" w:sz="0" w:space="0" w:color="auto"/>
            <w:right w:val="none" w:sz="0" w:space="0" w:color="auto"/>
          </w:divBdr>
        </w:div>
        <w:div w:id="1990133400">
          <w:marLeft w:val="0"/>
          <w:marRight w:val="0"/>
          <w:marTop w:val="0"/>
          <w:marBottom w:val="0"/>
          <w:divBdr>
            <w:top w:val="none" w:sz="0" w:space="0" w:color="auto"/>
            <w:left w:val="none" w:sz="0" w:space="0" w:color="auto"/>
            <w:bottom w:val="none" w:sz="0" w:space="0" w:color="auto"/>
            <w:right w:val="none" w:sz="0" w:space="0" w:color="auto"/>
          </w:divBdr>
        </w:div>
        <w:div w:id="42795540">
          <w:marLeft w:val="0"/>
          <w:marRight w:val="0"/>
          <w:marTop w:val="0"/>
          <w:marBottom w:val="0"/>
          <w:divBdr>
            <w:top w:val="none" w:sz="0" w:space="0" w:color="auto"/>
            <w:left w:val="none" w:sz="0" w:space="0" w:color="auto"/>
            <w:bottom w:val="none" w:sz="0" w:space="0" w:color="auto"/>
            <w:right w:val="none" w:sz="0" w:space="0" w:color="auto"/>
          </w:divBdr>
        </w:div>
        <w:div w:id="1522358688">
          <w:marLeft w:val="0"/>
          <w:marRight w:val="0"/>
          <w:marTop w:val="0"/>
          <w:marBottom w:val="0"/>
          <w:divBdr>
            <w:top w:val="none" w:sz="0" w:space="0" w:color="auto"/>
            <w:left w:val="none" w:sz="0" w:space="0" w:color="auto"/>
            <w:bottom w:val="none" w:sz="0" w:space="0" w:color="auto"/>
            <w:right w:val="none" w:sz="0" w:space="0" w:color="auto"/>
          </w:divBdr>
        </w:div>
        <w:div w:id="2117675340">
          <w:marLeft w:val="0"/>
          <w:marRight w:val="0"/>
          <w:marTop w:val="0"/>
          <w:marBottom w:val="0"/>
          <w:divBdr>
            <w:top w:val="none" w:sz="0" w:space="0" w:color="auto"/>
            <w:left w:val="none" w:sz="0" w:space="0" w:color="auto"/>
            <w:bottom w:val="none" w:sz="0" w:space="0" w:color="auto"/>
            <w:right w:val="none" w:sz="0" w:space="0" w:color="auto"/>
          </w:divBdr>
        </w:div>
        <w:div w:id="1655983378">
          <w:marLeft w:val="0"/>
          <w:marRight w:val="0"/>
          <w:marTop w:val="0"/>
          <w:marBottom w:val="0"/>
          <w:divBdr>
            <w:top w:val="none" w:sz="0" w:space="0" w:color="auto"/>
            <w:left w:val="none" w:sz="0" w:space="0" w:color="auto"/>
            <w:bottom w:val="none" w:sz="0" w:space="0" w:color="auto"/>
            <w:right w:val="none" w:sz="0" w:space="0" w:color="auto"/>
          </w:divBdr>
        </w:div>
        <w:div w:id="974867665">
          <w:marLeft w:val="0"/>
          <w:marRight w:val="0"/>
          <w:marTop w:val="0"/>
          <w:marBottom w:val="0"/>
          <w:divBdr>
            <w:top w:val="none" w:sz="0" w:space="0" w:color="auto"/>
            <w:left w:val="none" w:sz="0" w:space="0" w:color="auto"/>
            <w:bottom w:val="none" w:sz="0" w:space="0" w:color="auto"/>
            <w:right w:val="none" w:sz="0" w:space="0" w:color="auto"/>
          </w:divBdr>
        </w:div>
      </w:divsChild>
    </w:div>
    <w:div w:id="1682665307">
      <w:bodyDiv w:val="1"/>
      <w:marLeft w:val="0"/>
      <w:marRight w:val="0"/>
      <w:marTop w:val="0"/>
      <w:marBottom w:val="0"/>
      <w:divBdr>
        <w:top w:val="none" w:sz="0" w:space="0" w:color="auto"/>
        <w:left w:val="none" w:sz="0" w:space="0" w:color="auto"/>
        <w:bottom w:val="none" w:sz="0" w:space="0" w:color="auto"/>
        <w:right w:val="none" w:sz="0" w:space="0" w:color="auto"/>
      </w:divBdr>
    </w:div>
    <w:div w:id="1752654156">
      <w:bodyDiv w:val="1"/>
      <w:marLeft w:val="0"/>
      <w:marRight w:val="0"/>
      <w:marTop w:val="0"/>
      <w:marBottom w:val="0"/>
      <w:divBdr>
        <w:top w:val="none" w:sz="0" w:space="0" w:color="auto"/>
        <w:left w:val="none" w:sz="0" w:space="0" w:color="auto"/>
        <w:bottom w:val="none" w:sz="0" w:space="0" w:color="auto"/>
        <w:right w:val="none" w:sz="0" w:space="0" w:color="auto"/>
      </w:divBdr>
    </w:div>
    <w:div w:id="1822234976">
      <w:bodyDiv w:val="1"/>
      <w:marLeft w:val="0"/>
      <w:marRight w:val="0"/>
      <w:marTop w:val="0"/>
      <w:marBottom w:val="0"/>
      <w:divBdr>
        <w:top w:val="none" w:sz="0" w:space="0" w:color="auto"/>
        <w:left w:val="none" w:sz="0" w:space="0" w:color="auto"/>
        <w:bottom w:val="none" w:sz="0" w:space="0" w:color="auto"/>
        <w:right w:val="none" w:sz="0" w:space="0" w:color="auto"/>
      </w:divBdr>
    </w:div>
    <w:div w:id="1879507557">
      <w:bodyDiv w:val="1"/>
      <w:marLeft w:val="0"/>
      <w:marRight w:val="0"/>
      <w:marTop w:val="0"/>
      <w:marBottom w:val="0"/>
      <w:divBdr>
        <w:top w:val="none" w:sz="0" w:space="0" w:color="auto"/>
        <w:left w:val="none" w:sz="0" w:space="0" w:color="auto"/>
        <w:bottom w:val="none" w:sz="0" w:space="0" w:color="auto"/>
        <w:right w:val="none" w:sz="0" w:space="0" w:color="auto"/>
      </w:divBdr>
    </w:div>
    <w:div w:id="2032871592">
      <w:bodyDiv w:val="1"/>
      <w:marLeft w:val="0"/>
      <w:marRight w:val="0"/>
      <w:marTop w:val="0"/>
      <w:marBottom w:val="0"/>
      <w:divBdr>
        <w:top w:val="none" w:sz="0" w:space="0" w:color="auto"/>
        <w:left w:val="none" w:sz="0" w:space="0" w:color="auto"/>
        <w:bottom w:val="none" w:sz="0" w:space="0" w:color="auto"/>
        <w:right w:val="none" w:sz="0" w:space="0" w:color="auto"/>
      </w:divBdr>
      <w:divsChild>
        <w:div w:id="542253766">
          <w:marLeft w:val="0"/>
          <w:marRight w:val="0"/>
          <w:marTop w:val="0"/>
          <w:marBottom w:val="0"/>
          <w:divBdr>
            <w:top w:val="none" w:sz="0" w:space="0" w:color="auto"/>
            <w:left w:val="none" w:sz="0" w:space="0" w:color="auto"/>
            <w:bottom w:val="none" w:sz="0" w:space="0" w:color="auto"/>
            <w:right w:val="none" w:sz="0" w:space="0" w:color="auto"/>
          </w:divBdr>
          <w:divsChild>
            <w:div w:id="1877813819">
              <w:marLeft w:val="0"/>
              <w:marRight w:val="0"/>
              <w:marTop w:val="0"/>
              <w:marBottom w:val="0"/>
              <w:divBdr>
                <w:top w:val="none" w:sz="0" w:space="0" w:color="auto"/>
                <w:left w:val="none" w:sz="0" w:space="0" w:color="auto"/>
                <w:bottom w:val="none" w:sz="0" w:space="0" w:color="auto"/>
                <w:right w:val="none" w:sz="0" w:space="0" w:color="auto"/>
              </w:divBdr>
              <w:divsChild>
                <w:div w:id="884563967">
                  <w:marLeft w:val="0"/>
                  <w:marRight w:val="0"/>
                  <w:marTop w:val="0"/>
                  <w:marBottom w:val="0"/>
                  <w:divBdr>
                    <w:top w:val="none" w:sz="0" w:space="0" w:color="auto"/>
                    <w:left w:val="none" w:sz="0" w:space="0" w:color="auto"/>
                    <w:bottom w:val="none" w:sz="0" w:space="0" w:color="auto"/>
                    <w:right w:val="none" w:sz="0" w:space="0" w:color="auto"/>
                  </w:divBdr>
                  <w:divsChild>
                    <w:div w:id="1899701425">
                      <w:marLeft w:val="0"/>
                      <w:marRight w:val="0"/>
                      <w:marTop w:val="0"/>
                      <w:marBottom w:val="0"/>
                      <w:divBdr>
                        <w:top w:val="none" w:sz="0" w:space="0" w:color="auto"/>
                        <w:left w:val="none" w:sz="0" w:space="0" w:color="auto"/>
                        <w:bottom w:val="none" w:sz="0" w:space="0" w:color="auto"/>
                        <w:right w:val="none" w:sz="0" w:space="0" w:color="auto"/>
                      </w:divBdr>
                      <w:divsChild>
                        <w:div w:id="1769540899">
                          <w:marLeft w:val="0"/>
                          <w:marRight w:val="0"/>
                          <w:marTop w:val="0"/>
                          <w:marBottom w:val="0"/>
                          <w:divBdr>
                            <w:top w:val="none" w:sz="0" w:space="0" w:color="auto"/>
                            <w:left w:val="none" w:sz="0" w:space="0" w:color="auto"/>
                            <w:bottom w:val="none" w:sz="0" w:space="0" w:color="auto"/>
                            <w:right w:val="none" w:sz="0" w:space="0" w:color="auto"/>
                          </w:divBdr>
                          <w:divsChild>
                            <w:div w:id="10688766">
                              <w:marLeft w:val="0"/>
                              <w:marRight w:val="0"/>
                              <w:marTop w:val="0"/>
                              <w:marBottom w:val="0"/>
                              <w:divBdr>
                                <w:top w:val="none" w:sz="0" w:space="0" w:color="auto"/>
                                <w:left w:val="none" w:sz="0" w:space="0" w:color="auto"/>
                                <w:bottom w:val="none" w:sz="0" w:space="0" w:color="auto"/>
                                <w:right w:val="none" w:sz="0" w:space="0" w:color="auto"/>
                              </w:divBdr>
                              <w:divsChild>
                                <w:div w:id="7295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2768">
          <w:marLeft w:val="0"/>
          <w:marRight w:val="0"/>
          <w:marTop w:val="0"/>
          <w:marBottom w:val="0"/>
          <w:divBdr>
            <w:top w:val="none" w:sz="0" w:space="0" w:color="auto"/>
            <w:left w:val="none" w:sz="0" w:space="0" w:color="auto"/>
            <w:bottom w:val="none" w:sz="0" w:space="0" w:color="auto"/>
            <w:right w:val="none" w:sz="0" w:space="0" w:color="auto"/>
          </w:divBdr>
          <w:divsChild>
            <w:div w:id="1329095409">
              <w:marLeft w:val="0"/>
              <w:marRight w:val="0"/>
              <w:marTop w:val="0"/>
              <w:marBottom w:val="0"/>
              <w:divBdr>
                <w:top w:val="none" w:sz="0" w:space="0" w:color="auto"/>
                <w:left w:val="none" w:sz="0" w:space="0" w:color="auto"/>
                <w:bottom w:val="none" w:sz="0" w:space="0" w:color="auto"/>
                <w:right w:val="none" w:sz="0" w:space="0" w:color="auto"/>
              </w:divBdr>
              <w:divsChild>
                <w:div w:id="1228343989">
                  <w:marLeft w:val="0"/>
                  <w:marRight w:val="0"/>
                  <w:marTop w:val="0"/>
                  <w:marBottom w:val="0"/>
                  <w:divBdr>
                    <w:top w:val="none" w:sz="0" w:space="0" w:color="auto"/>
                    <w:left w:val="none" w:sz="0" w:space="0" w:color="auto"/>
                    <w:bottom w:val="none" w:sz="0" w:space="0" w:color="auto"/>
                    <w:right w:val="none" w:sz="0" w:space="0" w:color="auto"/>
                  </w:divBdr>
                  <w:divsChild>
                    <w:div w:id="1014070813">
                      <w:marLeft w:val="0"/>
                      <w:marRight w:val="0"/>
                      <w:marTop w:val="0"/>
                      <w:marBottom w:val="0"/>
                      <w:divBdr>
                        <w:top w:val="none" w:sz="0" w:space="0" w:color="auto"/>
                        <w:left w:val="none" w:sz="0" w:space="0" w:color="auto"/>
                        <w:bottom w:val="none" w:sz="0" w:space="0" w:color="auto"/>
                        <w:right w:val="none" w:sz="0" w:space="0" w:color="auto"/>
                      </w:divBdr>
                      <w:divsChild>
                        <w:div w:id="24137945">
                          <w:marLeft w:val="0"/>
                          <w:marRight w:val="0"/>
                          <w:marTop w:val="0"/>
                          <w:marBottom w:val="0"/>
                          <w:divBdr>
                            <w:top w:val="none" w:sz="0" w:space="0" w:color="auto"/>
                            <w:left w:val="none" w:sz="0" w:space="0" w:color="auto"/>
                            <w:bottom w:val="none" w:sz="0" w:space="0" w:color="auto"/>
                            <w:right w:val="none" w:sz="0" w:space="0" w:color="auto"/>
                          </w:divBdr>
                          <w:divsChild>
                            <w:div w:id="1763868030">
                              <w:marLeft w:val="0"/>
                              <w:marRight w:val="0"/>
                              <w:marTop w:val="0"/>
                              <w:marBottom w:val="0"/>
                              <w:divBdr>
                                <w:top w:val="none" w:sz="0" w:space="0" w:color="auto"/>
                                <w:left w:val="none" w:sz="0" w:space="0" w:color="auto"/>
                                <w:bottom w:val="none" w:sz="0" w:space="0" w:color="auto"/>
                                <w:right w:val="none" w:sz="0" w:space="0" w:color="auto"/>
                              </w:divBdr>
                              <w:divsChild>
                                <w:div w:id="1377775292">
                                  <w:marLeft w:val="0"/>
                                  <w:marRight w:val="0"/>
                                  <w:marTop w:val="0"/>
                                  <w:marBottom w:val="0"/>
                                  <w:divBdr>
                                    <w:top w:val="none" w:sz="0" w:space="0" w:color="auto"/>
                                    <w:left w:val="none" w:sz="0" w:space="0" w:color="auto"/>
                                    <w:bottom w:val="none" w:sz="0" w:space="0" w:color="auto"/>
                                    <w:right w:val="none" w:sz="0" w:space="0" w:color="auto"/>
                                  </w:divBdr>
                                  <w:divsChild>
                                    <w:div w:id="1375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113255">
          <w:marLeft w:val="0"/>
          <w:marRight w:val="0"/>
          <w:marTop w:val="0"/>
          <w:marBottom w:val="0"/>
          <w:divBdr>
            <w:top w:val="none" w:sz="0" w:space="0" w:color="auto"/>
            <w:left w:val="none" w:sz="0" w:space="0" w:color="auto"/>
            <w:bottom w:val="none" w:sz="0" w:space="0" w:color="auto"/>
            <w:right w:val="none" w:sz="0" w:space="0" w:color="auto"/>
          </w:divBdr>
          <w:divsChild>
            <w:div w:id="1128623465">
              <w:marLeft w:val="0"/>
              <w:marRight w:val="0"/>
              <w:marTop w:val="0"/>
              <w:marBottom w:val="0"/>
              <w:divBdr>
                <w:top w:val="none" w:sz="0" w:space="0" w:color="auto"/>
                <w:left w:val="none" w:sz="0" w:space="0" w:color="auto"/>
                <w:bottom w:val="none" w:sz="0" w:space="0" w:color="auto"/>
                <w:right w:val="none" w:sz="0" w:space="0" w:color="auto"/>
              </w:divBdr>
              <w:divsChild>
                <w:div w:id="219944770">
                  <w:marLeft w:val="0"/>
                  <w:marRight w:val="0"/>
                  <w:marTop w:val="0"/>
                  <w:marBottom w:val="0"/>
                  <w:divBdr>
                    <w:top w:val="none" w:sz="0" w:space="0" w:color="auto"/>
                    <w:left w:val="none" w:sz="0" w:space="0" w:color="auto"/>
                    <w:bottom w:val="none" w:sz="0" w:space="0" w:color="auto"/>
                    <w:right w:val="none" w:sz="0" w:space="0" w:color="auto"/>
                  </w:divBdr>
                  <w:divsChild>
                    <w:div w:id="1791774936">
                      <w:marLeft w:val="0"/>
                      <w:marRight w:val="0"/>
                      <w:marTop w:val="0"/>
                      <w:marBottom w:val="0"/>
                      <w:divBdr>
                        <w:top w:val="none" w:sz="0" w:space="0" w:color="auto"/>
                        <w:left w:val="none" w:sz="0" w:space="0" w:color="auto"/>
                        <w:bottom w:val="none" w:sz="0" w:space="0" w:color="auto"/>
                        <w:right w:val="none" w:sz="0" w:space="0" w:color="auto"/>
                      </w:divBdr>
                      <w:divsChild>
                        <w:div w:id="1055272562">
                          <w:marLeft w:val="0"/>
                          <w:marRight w:val="0"/>
                          <w:marTop w:val="0"/>
                          <w:marBottom w:val="0"/>
                          <w:divBdr>
                            <w:top w:val="none" w:sz="0" w:space="0" w:color="auto"/>
                            <w:left w:val="none" w:sz="0" w:space="0" w:color="auto"/>
                            <w:bottom w:val="none" w:sz="0" w:space="0" w:color="auto"/>
                            <w:right w:val="none" w:sz="0" w:space="0" w:color="auto"/>
                          </w:divBdr>
                          <w:divsChild>
                            <w:div w:id="297078420">
                              <w:marLeft w:val="0"/>
                              <w:marRight w:val="0"/>
                              <w:marTop w:val="0"/>
                              <w:marBottom w:val="0"/>
                              <w:divBdr>
                                <w:top w:val="none" w:sz="0" w:space="0" w:color="auto"/>
                                <w:left w:val="none" w:sz="0" w:space="0" w:color="auto"/>
                                <w:bottom w:val="none" w:sz="0" w:space="0" w:color="auto"/>
                                <w:right w:val="none" w:sz="0" w:space="0" w:color="auto"/>
                              </w:divBdr>
                              <w:divsChild>
                                <w:div w:id="1358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DDE9-CD3C-43D3-8F6A-D4320FCF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Phú Thế</dc:creator>
  <cp:keywords/>
  <dc:description/>
  <cp:lastModifiedBy>NEW</cp:lastModifiedBy>
  <cp:revision>2</cp:revision>
  <cp:lastPrinted>2026-05-26T07:14:00Z</cp:lastPrinted>
  <dcterms:created xsi:type="dcterms:W3CDTF">2026-05-28T01:11:00Z</dcterms:created>
  <dcterms:modified xsi:type="dcterms:W3CDTF">2026-05-28T01:11:00Z</dcterms:modified>
</cp:coreProperties>
</file>